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D2C4C" w14:textId="744999C0" w:rsidR="00C14F2A" w:rsidRDefault="0055776F" w:rsidP="0055776F">
      <w:pPr>
        <w:ind w:left="720" w:firstLine="720"/>
        <w:rPr>
          <w:rFonts w:cs="Arial"/>
          <w:b/>
          <w:bCs/>
          <w:color w:val="0A1E59"/>
        </w:rPr>
      </w:pPr>
      <w:r>
        <w:object w:dxaOrig="9685" w:dyaOrig="1965" w14:anchorId="46D35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56.5pt" o:ole="">
            <v:imagedata r:id="rId4" o:title=""/>
          </v:shape>
          <o:OLEObject Type="Embed" ProgID="CorelDRAWHome.Graphic.18" ShapeID="_x0000_i1025" DrawAspect="Content" ObjectID="_1584194180" r:id="rId5"/>
        </w:object>
      </w:r>
    </w:p>
    <w:p w14:paraId="62DF4CF1" w14:textId="77777777" w:rsidR="00DE63FB" w:rsidRDefault="00DE63FB" w:rsidP="00DE63FB">
      <w:pPr>
        <w:snapToGrid w:val="0"/>
        <w:spacing w:after="0" w:line="240" w:lineRule="auto"/>
        <w:jc w:val="center"/>
        <w:rPr>
          <w:rFonts w:ascii="Times New Roman" w:hAnsi="Times New Roman"/>
          <w:b/>
          <w:sz w:val="24"/>
          <w:szCs w:val="24"/>
        </w:rPr>
      </w:pPr>
    </w:p>
    <w:p w14:paraId="4682352B" w14:textId="52025BC1" w:rsidR="00DE63FB" w:rsidRDefault="00D76F5A" w:rsidP="00DE63FB">
      <w:pPr>
        <w:snapToGrid w:val="0"/>
        <w:spacing w:after="0" w:line="240" w:lineRule="auto"/>
        <w:jc w:val="center"/>
        <w:rPr>
          <w:rFonts w:ascii="Times New Roman" w:hAnsi="Times New Roman"/>
          <w:b/>
          <w:sz w:val="24"/>
          <w:szCs w:val="24"/>
        </w:rPr>
      </w:pPr>
      <w:r>
        <w:rPr>
          <w:rFonts w:ascii="Times New Roman" w:hAnsi="Times New Roman"/>
          <w:b/>
          <w:sz w:val="24"/>
          <w:szCs w:val="24"/>
        </w:rPr>
        <w:t xml:space="preserve">SURGE COPPER </w:t>
      </w:r>
      <w:r w:rsidR="00A63448">
        <w:rPr>
          <w:rFonts w:ascii="Times New Roman" w:hAnsi="Times New Roman"/>
          <w:b/>
          <w:sz w:val="24"/>
          <w:szCs w:val="24"/>
        </w:rPr>
        <w:t>PLANS</w:t>
      </w:r>
      <w:r>
        <w:rPr>
          <w:rFonts w:ascii="Times New Roman" w:hAnsi="Times New Roman"/>
          <w:b/>
          <w:sz w:val="24"/>
          <w:szCs w:val="24"/>
        </w:rPr>
        <w:t xml:space="preserve"> 2018 </w:t>
      </w:r>
      <w:r w:rsidR="00A63448">
        <w:rPr>
          <w:rFonts w:ascii="Times New Roman" w:hAnsi="Times New Roman"/>
          <w:b/>
          <w:sz w:val="24"/>
          <w:szCs w:val="24"/>
        </w:rPr>
        <w:t>DRILLING PROGRAM AT OOTSA</w:t>
      </w:r>
    </w:p>
    <w:p w14:paraId="0C3E7BFB" w14:textId="77777777" w:rsidR="00DE63FB" w:rsidRPr="00744025" w:rsidRDefault="00DE63FB" w:rsidP="00DE63FB">
      <w:pPr>
        <w:snapToGrid w:val="0"/>
        <w:spacing w:after="0" w:line="240" w:lineRule="auto"/>
        <w:rPr>
          <w:rFonts w:ascii="Times New Roman" w:hAnsi="Times New Roman"/>
          <w:b/>
          <w:sz w:val="24"/>
          <w:szCs w:val="24"/>
        </w:rPr>
      </w:pPr>
      <w:r>
        <w:rPr>
          <w:rFonts w:ascii="Times New Roman" w:hAnsi="Times New Roman"/>
          <w:b/>
          <w:sz w:val="24"/>
          <w:szCs w:val="24"/>
        </w:rPr>
        <w:t xml:space="preserve">  </w:t>
      </w:r>
    </w:p>
    <w:p w14:paraId="5426F8FD" w14:textId="77777777" w:rsidR="00DE63FB" w:rsidRDefault="00DE63FB" w:rsidP="00DE63FB">
      <w:pPr>
        <w:spacing w:after="0" w:line="240" w:lineRule="auto"/>
        <w:jc w:val="both"/>
        <w:rPr>
          <w:rFonts w:ascii="Times New Roman" w:hAnsi="Times New Roman"/>
          <w:b/>
          <w:sz w:val="24"/>
          <w:szCs w:val="24"/>
        </w:rPr>
      </w:pPr>
    </w:p>
    <w:p w14:paraId="3249A744" w14:textId="12AC8A03" w:rsidR="00DE7B1D" w:rsidRDefault="00D76F5A" w:rsidP="00B04C93">
      <w:pPr>
        <w:spacing w:after="0" w:line="240" w:lineRule="auto"/>
        <w:jc w:val="both"/>
        <w:rPr>
          <w:rFonts w:ascii="Times New Roman" w:hAnsi="Times New Roman"/>
          <w:color w:val="000000"/>
          <w:sz w:val="24"/>
          <w:szCs w:val="24"/>
        </w:rPr>
      </w:pPr>
      <w:r w:rsidRPr="00B4782A">
        <w:rPr>
          <w:rFonts w:ascii="Times New Roman" w:hAnsi="Times New Roman"/>
          <w:b/>
          <w:sz w:val="24"/>
          <w:szCs w:val="24"/>
        </w:rPr>
        <w:t>April</w:t>
      </w:r>
      <w:r w:rsidR="00DE63FB" w:rsidRPr="00B4782A">
        <w:rPr>
          <w:rFonts w:ascii="Times New Roman" w:hAnsi="Times New Roman"/>
          <w:b/>
          <w:sz w:val="24"/>
          <w:szCs w:val="24"/>
        </w:rPr>
        <w:t xml:space="preserve"> </w:t>
      </w:r>
      <w:r w:rsidR="00B4782A" w:rsidRPr="00B4782A">
        <w:rPr>
          <w:rFonts w:ascii="Times New Roman" w:hAnsi="Times New Roman"/>
          <w:b/>
          <w:sz w:val="24"/>
          <w:szCs w:val="24"/>
        </w:rPr>
        <w:t>3</w:t>
      </w:r>
      <w:r w:rsidR="00DE63FB" w:rsidRPr="00B4782A">
        <w:rPr>
          <w:rFonts w:ascii="Times New Roman" w:hAnsi="Times New Roman"/>
          <w:b/>
          <w:sz w:val="24"/>
          <w:szCs w:val="24"/>
        </w:rPr>
        <w:t>, 2018</w:t>
      </w:r>
      <w:r w:rsidR="00DE63FB" w:rsidRPr="00493EF9">
        <w:rPr>
          <w:rFonts w:ascii="Times New Roman" w:hAnsi="Times New Roman"/>
          <w:sz w:val="24"/>
          <w:szCs w:val="24"/>
        </w:rPr>
        <w:t xml:space="preserve">, </w:t>
      </w:r>
      <w:r w:rsidR="00DE63FB" w:rsidRPr="00B025EB">
        <w:rPr>
          <w:rFonts w:ascii="Times New Roman" w:hAnsi="Times New Roman"/>
          <w:color w:val="000000"/>
          <w:sz w:val="24"/>
          <w:szCs w:val="24"/>
        </w:rPr>
        <w:t xml:space="preserve">Vancouver, British Columbia </w:t>
      </w:r>
      <w:r w:rsidR="00DE63FB">
        <w:rPr>
          <w:rFonts w:ascii="Times New Roman" w:hAnsi="Times New Roman"/>
          <w:color w:val="000000"/>
          <w:sz w:val="24"/>
          <w:szCs w:val="24"/>
        </w:rPr>
        <w:t>–</w:t>
      </w:r>
      <w:r w:rsidR="00DE63FB" w:rsidRPr="00B025EB">
        <w:rPr>
          <w:rFonts w:ascii="Times New Roman" w:hAnsi="Times New Roman"/>
          <w:color w:val="000000"/>
          <w:sz w:val="24"/>
          <w:szCs w:val="24"/>
        </w:rPr>
        <w:t xml:space="preserve"> </w:t>
      </w:r>
      <w:r w:rsidR="00DE63FB">
        <w:rPr>
          <w:rFonts w:ascii="Times New Roman" w:hAnsi="Times New Roman"/>
          <w:color w:val="000000"/>
          <w:sz w:val="24"/>
          <w:szCs w:val="24"/>
        </w:rPr>
        <w:t>Surge Copper Corp.</w:t>
      </w:r>
      <w:r w:rsidR="00DE63FB" w:rsidRPr="00B025EB">
        <w:rPr>
          <w:rFonts w:ascii="Times New Roman" w:hAnsi="Times New Roman"/>
          <w:color w:val="000000"/>
          <w:sz w:val="24"/>
          <w:szCs w:val="24"/>
        </w:rPr>
        <w:t xml:space="preserve"> (the “Company” or “</w:t>
      </w:r>
      <w:r w:rsidR="00DE63FB">
        <w:rPr>
          <w:rFonts w:ascii="Times New Roman" w:hAnsi="Times New Roman"/>
          <w:color w:val="000000"/>
          <w:sz w:val="24"/>
          <w:szCs w:val="24"/>
        </w:rPr>
        <w:t>Surge</w:t>
      </w:r>
      <w:r w:rsidR="00DE63FB" w:rsidRPr="00B025EB">
        <w:rPr>
          <w:rFonts w:ascii="Times New Roman" w:hAnsi="Times New Roman"/>
          <w:color w:val="000000"/>
          <w:sz w:val="24"/>
          <w:szCs w:val="24"/>
        </w:rPr>
        <w:t xml:space="preserve"> </w:t>
      </w:r>
      <w:r w:rsidR="00DE63FB">
        <w:rPr>
          <w:rFonts w:ascii="Times New Roman" w:hAnsi="Times New Roman"/>
          <w:color w:val="000000"/>
          <w:sz w:val="24"/>
          <w:szCs w:val="24"/>
        </w:rPr>
        <w:t>Copper</w:t>
      </w:r>
      <w:r w:rsidR="00DE63FB" w:rsidRPr="00B025EB">
        <w:rPr>
          <w:rFonts w:ascii="Times New Roman" w:hAnsi="Times New Roman"/>
          <w:color w:val="000000"/>
          <w:sz w:val="24"/>
          <w:szCs w:val="24"/>
        </w:rPr>
        <w:t>”) (TSX-V:</w:t>
      </w:r>
      <w:r w:rsidR="00DE63FB">
        <w:rPr>
          <w:rFonts w:ascii="Times New Roman" w:hAnsi="Times New Roman"/>
          <w:color w:val="000000"/>
          <w:sz w:val="24"/>
          <w:szCs w:val="24"/>
        </w:rPr>
        <w:t>SURG</w:t>
      </w:r>
      <w:r w:rsidR="00DE63FB" w:rsidRPr="00B025EB">
        <w:rPr>
          <w:rFonts w:ascii="Times New Roman" w:hAnsi="Times New Roman"/>
          <w:color w:val="000000"/>
          <w:sz w:val="24"/>
          <w:szCs w:val="24"/>
        </w:rPr>
        <w:t>)</w:t>
      </w:r>
      <w:r w:rsidR="008F24CC">
        <w:rPr>
          <w:rFonts w:ascii="Times New Roman" w:hAnsi="Times New Roman"/>
          <w:color w:val="000000"/>
          <w:sz w:val="24"/>
          <w:szCs w:val="24"/>
        </w:rPr>
        <w:t xml:space="preserve">, </w:t>
      </w:r>
      <w:r w:rsidR="00B04C93">
        <w:rPr>
          <w:rFonts w:ascii="Times New Roman" w:hAnsi="Times New Roman"/>
          <w:color w:val="000000"/>
          <w:sz w:val="24"/>
          <w:szCs w:val="24"/>
        </w:rPr>
        <w:t xml:space="preserve">is pleased to provide an update </w:t>
      </w:r>
      <w:r w:rsidR="009A3BA6">
        <w:rPr>
          <w:rFonts w:ascii="Times New Roman" w:hAnsi="Times New Roman"/>
          <w:color w:val="000000"/>
          <w:sz w:val="24"/>
          <w:szCs w:val="24"/>
        </w:rPr>
        <w:t>on</w:t>
      </w:r>
      <w:r w:rsidR="00B04C93">
        <w:rPr>
          <w:rFonts w:ascii="Times New Roman" w:hAnsi="Times New Roman"/>
          <w:color w:val="000000"/>
          <w:sz w:val="24"/>
          <w:szCs w:val="24"/>
        </w:rPr>
        <w:t xml:space="preserve"> planned 2018 exploration activities at the </w:t>
      </w:r>
      <w:r w:rsidR="00FA5266">
        <w:rPr>
          <w:rFonts w:ascii="Times New Roman" w:hAnsi="Times New Roman"/>
          <w:color w:val="000000"/>
          <w:sz w:val="24"/>
          <w:szCs w:val="24"/>
        </w:rPr>
        <w:t xml:space="preserve">Company’s 100% owned </w:t>
      </w:r>
      <w:r w:rsidR="00B04C93">
        <w:rPr>
          <w:rFonts w:ascii="Times New Roman" w:hAnsi="Times New Roman"/>
          <w:color w:val="000000"/>
          <w:sz w:val="24"/>
          <w:szCs w:val="24"/>
        </w:rPr>
        <w:t>Ootsa Property</w:t>
      </w:r>
      <w:r w:rsidR="00FA5266">
        <w:rPr>
          <w:rFonts w:ascii="Times New Roman" w:hAnsi="Times New Roman"/>
          <w:color w:val="000000"/>
          <w:sz w:val="24"/>
          <w:szCs w:val="24"/>
        </w:rPr>
        <w:t xml:space="preserve"> in British Columbia</w:t>
      </w:r>
      <w:r w:rsidR="00B04C93">
        <w:rPr>
          <w:rFonts w:ascii="Times New Roman" w:hAnsi="Times New Roman"/>
          <w:color w:val="000000"/>
          <w:sz w:val="24"/>
          <w:szCs w:val="24"/>
        </w:rPr>
        <w:t xml:space="preserve">. </w:t>
      </w:r>
      <w:r w:rsidR="00FA5266">
        <w:rPr>
          <w:rFonts w:ascii="Times New Roman" w:hAnsi="Times New Roman"/>
          <w:color w:val="000000"/>
          <w:sz w:val="24"/>
          <w:szCs w:val="24"/>
        </w:rPr>
        <w:t>T</w:t>
      </w:r>
      <w:r w:rsidR="00B04C93" w:rsidRPr="00B025EB">
        <w:rPr>
          <w:rFonts w:ascii="Times New Roman" w:hAnsi="Times New Roman"/>
          <w:color w:val="000000"/>
          <w:sz w:val="24"/>
          <w:szCs w:val="24"/>
        </w:rPr>
        <w:t>he Ootsa Property</w:t>
      </w:r>
      <w:r w:rsidR="00FA5266">
        <w:rPr>
          <w:rFonts w:ascii="Times New Roman" w:hAnsi="Times New Roman"/>
          <w:color w:val="000000"/>
          <w:sz w:val="24"/>
          <w:szCs w:val="24"/>
        </w:rPr>
        <w:t xml:space="preserve"> is</w:t>
      </w:r>
      <w:r w:rsidR="00B04C93" w:rsidRPr="00B025EB">
        <w:rPr>
          <w:rFonts w:ascii="Times New Roman" w:hAnsi="Times New Roman"/>
          <w:color w:val="000000"/>
          <w:sz w:val="24"/>
          <w:szCs w:val="24"/>
        </w:rPr>
        <w:t xml:space="preserve"> an advanced stage copper-gold exploration project</w:t>
      </w:r>
      <w:bookmarkStart w:id="0" w:name="_GoBack"/>
      <w:bookmarkEnd w:id="0"/>
      <w:r w:rsidR="00B04C93" w:rsidRPr="00B025EB">
        <w:rPr>
          <w:rFonts w:ascii="Times New Roman" w:hAnsi="Times New Roman"/>
          <w:color w:val="000000"/>
          <w:sz w:val="24"/>
          <w:szCs w:val="24"/>
        </w:rPr>
        <w:t xml:space="preserve"> containing the East Seel, West Seel and Ox porphyry deposits </w:t>
      </w:r>
      <w:r w:rsidR="00FA5266">
        <w:rPr>
          <w:rFonts w:ascii="Times New Roman" w:hAnsi="Times New Roman"/>
          <w:color w:val="000000"/>
          <w:sz w:val="24"/>
          <w:szCs w:val="24"/>
        </w:rPr>
        <w:t xml:space="preserve">and is </w:t>
      </w:r>
      <w:r w:rsidR="00B04C93" w:rsidRPr="00B025EB">
        <w:rPr>
          <w:rFonts w:ascii="Times New Roman" w:hAnsi="Times New Roman"/>
          <w:color w:val="000000"/>
          <w:sz w:val="24"/>
          <w:szCs w:val="24"/>
        </w:rPr>
        <w:t>located adjacent to the Huckleberry open pit copper mine</w:t>
      </w:r>
      <w:r w:rsidR="00FA5266">
        <w:rPr>
          <w:rFonts w:ascii="Times New Roman" w:hAnsi="Times New Roman"/>
          <w:color w:val="000000"/>
          <w:sz w:val="24"/>
          <w:szCs w:val="24"/>
        </w:rPr>
        <w:t>.</w:t>
      </w:r>
    </w:p>
    <w:p w14:paraId="2139486A" w14:textId="32929E36" w:rsidR="00D76F5A" w:rsidRDefault="00D76F5A" w:rsidP="00B04C93">
      <w:pPr>
        <w:spacing w:after="0" w:line="240" w:lineRule="auto"/>
        <w:jc w:val="both"/>
        <w:rPr>
          <w:rFonts w:ascii="Times New Roman" w:hAnsi="Times New Roman"/>
          <w:sz w:val="24"/>
          <w:szCs w:val="24"/>
        </w:rPr>
      </w:pPr>
    </w:p>
    <w:p w14:paraId="3DCC3DD5" w14:textId="2B9028A4" w:rsidR="00B04C93" w:rsidRPr="00B04C93" w:rsidRDefault="00B04C93" w:rsidP="00B04C93">
      <w:pPr>
        <w:spacing w:after="0" w:line="240" w:lineRule="auto"/>
        <w:jc w:val="both"/>
        <w:rPr>
          <w:rFonts w:ascii="Times New Roman" w:hAnsi="Times New Roman"/>
          <w:b/>
          <w:sz w:val="24"/>
          <w:szCs w:val="24"/>
        </w:rPr>
      </w:pPr>
      <w:r w:rsidRPr="00B04C93">
        <w:rPr>
          <w:rFonts w:ascii="Times New Roman" w:hAnsi="Times New Roman"/>
          <w:b/>
          <w:sz w:val="24"/>
          <w:szCs w:val="24"/>
        </w:rPr>
        <w:t xml:space="preserve">2018 </w:t>
      </w:r>
      <w:r w:rsidR="00A63448">
        <w:rPr>
          <w:rFonts w:ascii="Times New Roman" w:hAnsi="Times New Roman"/>
          <w:b/>
          <w:sz w:val="24"/>
          <w:szCs w:val="24"/>
        </w:rPr>
        <w:t xml:space="preserve">Ootsa </w:t>
      </w:r>
      <w:r w:rsidRPr="00B04C93">
        <w:rPr>
          <w:rFonts w:ascii="Times New Roman" w:hAnsi="Times New Roman"/>
          <w:b/>
          <w:sz w:val="24"/>
          <w:szCs w:val="24"/>
        </w:rPr>
        <w:t>Drilling</w:t>
      </w:r>
    </w:p>
    <w:p w14:paraId="36B01878" w14:textId="635E284D" w:rsidR="00B04C93" w:rsidRDefault="00FA5266" w:rsidP="00B04C93">
      <w:pPr>
        <w:spacing w:after="0" w:line="240" w:lineRule="auto"/>
        <w:jc w:val="both"/>
        <w:rPr>
          <w:rFonts w:ascii="Times New Roman" w:hAnsi="Times New Roman"/>
          <w:sz w:val="24"/>
          <w:szCs w:val="24"/>
        </w:rPr>
      </w:pPr>
      <w:r>
        <w:rPr>
          <w:rFonts w:ascii="Times New Roman" w:hAnsi="Times New Roman"/>
          <w:sz w:val="24"/>
          <w:szCs w:val="24"/>
        </w:rPr>
        <w:t xml:space="preserve">Exploration drilling is planned for 2018 and </w:t>
      </w:r>
      <w:r w:rsidR="00D76F5A">
        <w:rPr>
          <w:rFonts w:ascii="Times New Roman" w:hAnsi="Times New Roman"/>
          <w:sz w:val="24"/>
          <w:szCs w:val="24"/>
        </w:rPr>
        <w:t>will focus on multiple</w:t>
      </w:r>
      <w:r>
        <w:rPr>
          <w:rFonts w:ascii="Times New Roman" w:hAnsi="Times New Roman"/>
          <w:sz w:val="24"/>
          <w:szCs w:val="24"/>
        </w:rPr>
        <w:t xml:space="preserve"> copper-gold porphyry</w:t>
      </w:r>
      <w:r w:rsidR="00D76F5A">
        <w:rPr>
          <w:rFonts w:ascii="Times New Roman" w:hAnsi="Times New Roman"/>
          <w:sz w:val="24"/>
          <w:szCs w:val="24"/>
        </w:rPr>
        <w:t xml:space="preserve"> targets immediately surrounding the East and West Seel deposits</w:t>
      </w:r>
      <w:r>
        <w:rPr>
          <w:rFonts w:ascii="Times New Roman" w:hAnsi="Times New Roman"/>
          <w:sz w:val="24"/>
          <w:szCs w:val="24"/>
        </w:rPr>
        <w:t>.  This drilling</w:t>
      </w:r>
      <w:r w:rsidR="00D76F5A">
        <w:rPr>
          <w:rFonts w:ascii="Times New Roman" w:hAnsi="Times New Roman"/>
          <w:sz w:val="24"/>
          <w:szCs w:val="24"/>
        </w:rPr>
        <w:t xml:space="preserve"> </w:t>
      </w:r>
      <w:r w:rsidR="00B04C93">
        <w:rPr>
          <w:rFonts w:ascii="Times New Roman" w:hAnsi="Times New Roman"/>
          <w:sz w:val="24"/>
          <w:szCs w:val="24"/>
        </w:rPr>
        <w:t xml:space="preserve">will </w:t>
      </w:r>
      <w:r>
        <w:rPr>
          <w:rFonts w:ascii="Times New Roman" w:hAnsi="Times New Roman"/>
          <w:sz w:val="24"/>
          <w:szCs w:val="24"/>
        </w:rPr>
        <w:t>test for</w:t>
      </w:r>
      <w:r w:rsidR="00D76F5A">
        <w:rPr>
          <w:rFonts w:ascii="Times New Roman" w:hAnsi="Times New Roman"/>
          <w:sz w:val="24"/>
          <w:szCs w:val="24"/>
        </w:rPr>
        <w:t xml:space="preserve"> the </w:t>
      </w:r>
      <w:r>
        <w:rPr>
          <w:rFonts w:ascii="Times New Roman" w:hAnsi="Times New Roman"/>
          <w:sz w:val="24"/>
          <w:szCs w:val="24"/>
        </w:rPr>
        <w:t>fault-</w:t>
      </w:r>
      <w:r w:rsidR="00D76F5A">
        <w:rPr>
          <w:rFonts w:ascii="Times New Roman" w:hAnsi="Times New Roman"/>
          <w:sz w:val="24"/>
          <w:szCs w:val="24"/>
        </w:rPr>
        <w:t>offset portion of the high</w:t>
      </w:r>
      <w:r w:rsidR="00B04C93">
        <w:rPr>
          <w:rFonts w:ascii="Times New Roman" w:hAnsi="Times New Roman"/>
          <w:sz w:val="24"/>
          <w:szCs w:val="24"/>
        </w:rPr>
        <w:t>-</w:t>
      </w:r>
      <w:r w:rsidR="00D76F5A">
        <w:rPr>
          <w:rFonts w:ascii="Times New Roman" w:hAnsi="Times New Roman"/>
          <w:sz w:val="24"/>
          <w:szCs w:val="24"/>
        </w:rPr>
        <w:t xml:space="preserve">grade East Seel </w:t>
      </w:r>
      <w:r w:rsidR="002C6289">
        <w:rPr>
          <w:rFonts w:ascii="Times New Roman" w:hAnsi="Times New Roman"/>
          <w:sz w:val="24"/>
          <w:szCs w:val="24"/>
        </w:rPr>
        <w:t>deposit and</w:t>
      </w:r>
      <w:r w:rsidR="00D76F5A">
        <w:rPr>
          <w:rFonts w:ascii="Times New Roman" w:hAnsi="Times New Roman"/>
          <w:sz w:val="24"/>
          <w:szCs w:val="24"/>
        </w:rPr>
        <w:t xml:space="preserve"> test a 1 km by 1 km zone of high chargeability </w:t>
      </w:r>
      <w:r w:rsidR="00B04C93">
        <w:rPr>
          <w:rFonts w:ascii="Times New Roman" w:hAnsi="Times New Roman"/>
          <w:sz w:val="24"/>
          <w:szCs w:val="24"/>
        </w:rPr>
        <w:t xml:space="preserve">that is </w:t>
      </w:r>
      <w:r w:rsidR="00D76F5A">
        <w:rPr>
          <w:rFonts w:ascii="Times New Roman" w:hAnsi="Times New Roman"/>
          <w:sz w:val="24"/>
          <w:szCs w:val="24"/>
        </w:rPr>
        <w:t xml:space="preserve">located directly adjacent to the West Seel deposit.  </w:t>
      </w:r>
      <w:r w:rsidR="00B04C93">
        <w:rPr>
          <w:rFonts w:ascii="Times New Roman" w:hAnsi="Times New Roman"/>
          <w:sz w:val="24"/>
          <w:szCs w:val="24"/>
        </w:rPr>
        <w:t>In addition to drill testing new targets, some drilling will be focused on optimizing the existing East and West Seel deposits</w:t>
      </w:r>
      <w:r>
        <w:rPr>
          <w:rFonts w:ascii="Times New Roman" w:hAnsi="Times New Roman"/>
          <w:sz w:val="24"/>
          <w:szCs w:val="24"/>
        </w:rPr>
        <w:t xml:space="preserve">, </w:t>
      </w:r>
      <w:r w:rsidR="00B04C93">
        <w:rPr>
          <w:rFonts w:ascii="Times New Roman" w:hAnsi="Times New Roman"/>
          <w:sz w:val="24"/>
          <w:szCs w:val="24"/>
        </w:rPr>
        <w:t>target</w:t>
      </w:r>
      <w:r>
        <w:rPr>
          <w:rFonts w:ascii="Times New Roman" w:hAnsi="Times New Roman"/>
          <w:sz w:val="24"/>
          <w:szCs w:val="24"/>
        </w:rPr>
        <w:t>ing</w:t>
      </w:r>
      <w:r w:rsidR="00B04C93">
        <w:rPr>
          <w:rFonts w:ascii="Times New Roman" w:hAnsi="Times New Roman"/>
          <w:sz w:val="24"/>
          <w:szCs w:val="24"/>
        </w:rPr>
        <w:t xml:space="preserve"> expansions </w:t>
      </w:r>
      <w:r>
        <w:rPr>
          <w:rFonts w:ascii="Times New Roman" w:hAnsi="Times New Roman"/>
          <w:sz w:val="24"/>
          <w:szCs w:val="24"/>
        </w:rPr>
        <w:t>to</w:t>
      </w:r>
      <w:r w:rsidR="00B04C93">
        <w:rPr>
          <w:rFonts w:ascii="Times New Roman" w:hAnsi="Times New Roman"/>
          <w:sz w:val="24"/>
          <w:szCs w:val="24"/>
        </w:rPr>
        <w:t xml:space="preserve"> existing resources and known higher grade trends where they remain open.  </w:t>
      </w:r>
      <w:r w:rsidR="001A43DD">
        <w:rPr>
          <w:rFonts w:ascii="Times New Roman" w:hAnsi="Times New Roman"/>
          <w:sz w:val="24"/>
          <w:szCs w:val="24"/>
        </w:rPr>
        <w:t xml:space="preserve">The goal of the 2018 drilling </w:t>
      </w:r>
      <w:r w:rsidR="00735F6E">
        <w:rPr>
          <w:rFonts w:ascii="Times New Roman" w:hAnsi="Times New Roman"/>
          <w:sz w:val="24"/>
          <w:szCs w:val="24"/>
        </w:rPr>
        <w:t xml:space="preserve">program </w:t>
      </w:r>
      <w:r w:rsidR="001A43DD">
        <w:rPr>
          <w:rFonts w:ascii="Times New Roman" w:hAnsi="Times New Roman"/>
          <w:sz w:val="24"/>
          <w:szCs w:val="24"/>
        </w:rPr>
        <w:t xml:space="preserve">will be to create increased flexibility in </w:t>
      </w:r>
      <w:r w:rsidR="00735F6E">
        <w:rPr>
          <w:rFonts w:ascii="Times New Roman" w:hAnsi="Times New Roman"/>
          <w:sz w:val="24"/>
          <w:szCs w:val="24"/>
        </w:rPr>
        <w:t xml:space="preserve">future </w:t>
      </w:r>
      <w:r w:rsidR="001A43DD">
        <w:rPr>
          <w:rFonts w:ascii="Times New Roman" w:hAnsi="Times New Roman"/>
          <w:sz w:val="24"/>
          <w:szCs w:val="24"/>
        </w:rPr>
        <w:t xml:space="preserve">project </w:t>
      </w:r>
      <w:r w:rsidR="00540BD2">
        <w:rPr>
          <w:rFonts w:ascii="Times New Roman" w:hAnsi="Times New Roman"/>
          <w:sz w:val="24"/>
          <w:szCs w:val="24"/>
        </w:rPr>
        <w:t>development and</w:t>
      </w:r>
      <w:r w:rsidR="00735F6E">
        <w:rPr>
          <w:rFonts w:ascii="Times New Roman" w:hAnsi="Times New Roman"/>
          <w:sz w:val="24"/>
          <w:szCs w:val="24"/>
        </w:rPr>
        <w:t xml:space="preserve"> help establish the viability </w:t>
      </w:r>
      <w:r>
        <w:rPr>
          <w:rFonts w:ascii="Times New Roman" w:hAnsi="Times New Roman"/>
          <w:sz w:val="24"/>
          <w:szCs w:val="24"/>
        </w:rPr>
        <w:t xml:space="preserve">of Ootsa </w:t>
      </w:r>
      <w:r w:rsidR="00735F6E">
        <w:rPr>
          <w:rFonts w:ascii="Times New Roman" w:hAnsi="Times New Roman"/>
          <w:sz w:val="24"/>
          <w:szCs w:val="24"/>
        </w:rPr>
        <w:t>as a stand-alone operation.</w:t>
      </w:r>
      <w:r w:rsidR="001A43DD">
        <w:rPr>
          <w:rFonts w:ascii="Times New Roman" w:hAnsi="Times New Roman"/>
          <w:sz w:val="24"/>
          <w:szCs w:val="24"/>
        </w:rPr>
        <w:t xml:space="preserve"> </w:t>
      </w:r>
      <w:r w:rsidR="00735F6E">
        <w:rPr>
          <w:rFonts w:ascii="Times New Roman" w:hAnsi="Times New Roman"/>
          <w:sz w:val="24"/>
          <w:szCs w:val="24"/>
        </w:rPr>
        <w:t xml:space="preserve"> </w:t>
      </w:r>
      <w:r w:rsidR="00B04C93">
        <w:rPr>
          <w:rFonts w:ascii="Times New Roman" w:hAnsi="Times New Roman"/>
          <w:sz w:val="24"/>
          <w:szCs w:val="24"/>
        </w:rPr>
        <w:t>A presentation outlining the main 2018 exploration targets is available</w:t>
      </w:r>
      <w:r w:rsidR="003A3DD9">
        <w:rPr>
          <w:rFonts w:ascii="Times New Roman" w:hAnsi="Times New Roman"/>
          <w:sz w:val="24"/>
          <w:szCs w:val="24"/>
        </w:rPr>
        <w:t xml:space="preserve"> </w:t>
      </w:r>
      <w:r w:rsidR="00B04C93">
        <w:rPr>
          <w:rFonts w:ascii="Times New Roman" w:hAnsi="Times New Roman"/>
          <w:sz w:val="24"/>
          <w:szCs w:val="24"/>
        </w:rPr>
        <w:t xml:space="preserve">here:  </w:t>
      </w:r>
      <w:hyperlink r:id="rId6" w:history="1">
        <w:r w:rsidR="00A63448" w:rsidRPr="00A63448">
          <w:rPr>
            <w:rStyle w:val="Hyperlink"/>
            <w:rFonts w:ascii="Times New Roman" w:hAnsi="Times New Roman"/>
            <w:sz w:val="24"/>
            <w:szCs w:val="24"/>
          </w:rPr>
          <w:t>Ootsa_2018_proposed_exploration_targets.</w:t>
        </w:r>
      </w:hyperlink>
    </w:p>
    <w:p w14:paraId="4B47980C" w14:textId="77777777" w:rsidR="00847C78" w:rsidRDefault="00847C78" w:rsidP="00B04C93">
      <w:pPr>
        <w:spacing w:after="0" w:line="240" w:lineRule="auto"/>
        <w:jc w:val="both"/>
        <w:rPr>
          <w:rFonts w:ascii="Times New Roman" w:hAnsi="Times New Roman"/>
          <w:sz w:val="24"/>
          <w:szCs w:val="24"/>
        </w:rPr>
      </w:pPr>
    </w:p>
    <w:p w14:paraId="7C88A1C1" w14:textId="39209DF2" w:rsidR="00B04C93" w:rsidRPr="002C6289" w:rsidRDefault="002C6289" w:rsidP="00B04C93">
      <w:pPr>
        <w:spacing w:after="0" w:line="240" w:lineRule="auto"/>
        <w:jc w:val="both"/>
        <w:rPr>
          <w:rFonts w:ascii="Times New Roman" w:hAnsi="Times New Roman"/>
          <w:b/>
          <w:sz w:val="24"/>
          <w:szCs w:val="24"/>
        </w:rPr>
      </w:pPr>
      <w:r w:rsidRPr="002C6289">
        <w:rPr>
          <w:rFonts w:ascii="Times New Roman" w:hAnsi="Times New Roman"/>
          <w:b/>
          <w:sz w:val="24"/>
          <w:szCs w:val="24"/>
        </w:rPr>
        <w:t>2018 Surface Exploration</w:t>
      </w:r>
    </w:p>
    <w:p w14:paraId="7C88F2A5" w14:textId="7EB44181" w:rsidR="00462A26" w:rsidRDefault="00FA5266" w:rsidP="00462A26">
      <w:pPr>
        <w:spacing w:after="0" w:line="240" w:lineRule="auto"/>
        <w:jc w:val="both"/>
        <w:rPr>
          <w:rFonts w:ascii="Times New Roman" w:hAnsi="Times New Roman"/>
          <w:sz w:val="24"/>
          <w:szCs w:val="24"/>
        </w:rPr>
      </w:pPr>
      <w:r>
        <w:rPr>
          <w:rFonts w:ascii="Times New Roman" w:hAnsi="Times New Roman"/>
          <w:sz w:val="24"/>
          <w:szCs w:val="24"/>
        </w:rPr>
        <w:t>During 2018 t</w:t>
      </w:r>
      <w:r w:rsidR="002C6289">
        <w:rPr>
          <w:rFonts w:ascii="Times New Roman" w:hAnsi="Times New Roman"/>
          <w:sz w:val="24"/>
          <w:szCs w:val="24"/>
        </w:rPr>
        <w:t xml:space="preserve">he Company plans to </w:t>
      </w:r>
      <w:r w:rsidR="00462A26">
        <w:rPr>
          <w:rFonts w:ascii="Times New Roman" w:hAnsi="Times New Roman"/>
          <w:sz w:val="24"/>
          <w:szCs w:val="24"/>
          <w:lang w:val="en-US"/>
        </w:rPr>
        <w:t>a</w:t>
      </w:r>
      <w:r w:rsidR="00462A26" w:rsidRPr="00462A26">
        <w:rPr>
          <w:rFonts w:ascii="Times New Roman" w:hAnsi="Times New Roman"/>
          <w:sz w:val="24"/>
          <w:szCs w:val="24"/>
          <w:lang w:val="en-US"/>
        </w:rPr>
        <w:t xml:space="preserve">dvance several early stage </w:t>
      </w:r>
      <w:r w:rsidR="00462A26">
        <w:rPr>
          <w:rFonts w:ascii="Times New Roman" w:hAnsi="Times New Roman"/>
          <w:sz w:val="24"/>
          <w:szCs w:val="24"/>
          <w:lang w:val="en-US"/>
        </w:rPr>
        <w:t xml:space="preserve">copper, gold, and silver </w:t>
      </w:r>
      <w:r w:rsidR="00462A26" w:rsidRPr="00462A26">
        <w:rPr>
          <w:rFonts w:ascii="Times New Roman" w:hAnsi="Times New Roman"/>
          <w:sz w:val="24"/>
          <w:szCs w:val="24"/>
          <w:lang w:val="en-US"/>
        </w:rPr>
        <w:t xml:space="preserve">exploration targets to better understand the potential pipeline of new targets moving forward.  The focus will be on high grade </w:t>
      </w:r>
      <w:r w:rsidR="00A63448">
        <w:rPr>
          <w:rFonts w:ascii="Times New Roman" w:hAnsi="Times New Roman"/>
          <w:sz w:val="24"/>
          <w:szCs w:val="24"/>
          <w:lang w:val="en-US"/>
        </w:rPr>
        <w:t>mineralization with potential to positively influence development of the district</w:t>
      </w:r>
      <w:r>
        <w:rPr>
          <w:rFonts w:ascii="Times New Roman" w:hAnsi="Times New Roman"/>
          <w:sz w:val="24"/>
          <w:szCs w:val="24"/>
          <w:lang w:val="en-US"/>
        </w:rPr>
        <w:t>, and on new zones of porphyry style copper-gold mineralization</w:t>
      </w:r>
      <w:r w:rsidR="00A63448">
        <w:rPr>
          <w:rFonts w:ascii="Times New Roman" w:hAnsi="Times New Roman"/>
          <w:sz w:val="24"/>
          <w:szCs w:val="24"/>
          <w:lang w:val="en-US"/>
        </w:rPr>
        <w:t>.</w:t>
      </w:r>
      <w:r w:rsidR="00462A26">
        <w:rPr>
          <w:rFonts w:ascii="Times New Roman" w:hAnsi="Times New Roman"/>
          <w:sz w:val="24"/>
          <w:szCs w:val="24"/>
          <w:lang w:val="en-US"/>
        </w:rPr>
        <w:t xml:space="preserve">  </w:t>
      </w:r>
      <w:r w:rsidR="00462A26">
        <w:rPr>
          <w:rFonts w:ascii="Times New Roman" w:hAnsi="Times New Roman"/>
          <w:sz w:val="24"/>
          <w:szCs w:val="24"/>
        </w:rPr>
        <w:t xml:space="preserve">This </w:t>
      </w:r>
      <w:r w:rsidR="00A63448">
        <w:rPr>
          <w:rFonts w:ascii="Times New Roman" w:hAnsi="Times New Roman"/>
          <w:sz w:val="24"/>
          <w:szCs w:val="24"/>
        </w:rPr>
        <w:t>program</w:t>
      </w:r>
      <w:r w:rsidR="00735F6E">
        <w:rPr>
          <w:rFonts w:ascii="Times New Roman" w:hAnsi="Times New Roman"/>
          <w:sz w:val="24"/>
          <w:szCs w:val="24"/>
        </w:rPr>
        <w:t xml:space="preserve"> will</w:t>
      </w:r>
      <w:r w:rsidR="00462A26">
        <w:rPr>
          <w:rFonts w:ascii="Times New Roman" w:hAnsi="Times New Roman"/>
          <w:sz w:val="24"/>
          <w:szCs w:val="24"/>
        </w:rPr>
        <w:t xml:space="preserve"> include low cost surface </w:t>
      </w:r>
      <w:r w:rsidR="00735F6E">
        <w:rPr>
          <w:rFonts w:ascii="Times New Roman" w:hAnsi="Times New Roman"/>
          <w:sz w:val="24"/>
          <w:szCs w:val="24"/>
        </w:rPr>
        <w:t>work</w:t>
      </w:r>
      <w:r w:rsidR="00462A26">
        <w:rPr>
          <w:rFonts w:ascii="Times New Roman" w:hAnsi="Times New Roman"/>
          <w:sz w:val="24"/>
          <w:szCs w:val="24"/>
        </w:rPr>
        <w:t xml:space="preserve"> such as mapping, surface sampling, and trenching</w:t>
      </w:r>
      <w:r w:rsidR="00735F6E">
        <w:rPr>
          <w:rFonts w:ascii="Times New Roman" w:hAnsi="Times New Roman"/>
          <w:sz w:val="24"/>
          <w:szCs w:val="24"/>
        </w:rPr>
        <w:t xml:space="preserve">, and will </w:t>
      </w:r>
      <w:r>
        <w:rPr>
          <w:rFonts w:ascii="Times New Roman" w:hAnsi="Times New Roman"/>
          <w:sz w:val="24"/>
          <w:szCs w:val="24"/>
        </w:rPr>
        <w:t>be conducted</w:t>
      </w:r>
      <w:r w:rsidR="00735F6E">
        <w:rPr>
          <w:rFonts w:ascii="Times New Roman" w:hAnsi="Times New Roman"/>
          <w:sz w:val="24"/>
          <w:szCs w:val="24"/>
        </w:rPr>
        <w:t xml:space="preserve"> on multiple targets</w:t>
      </w:r>
      <w:r w:rsidR="00A63448">
        <w:rPr>
          <w:rFonts w:ascii="Times New Roman" w:hAnsi="Times New Roman"/>
          <w:sz w:val="24"/>
          <w:szCs w:val="24"/>
        </w:rPr>
        <w:t xml:space="preserve"> with known silver, gold, copper, zinc and lead</w:t>
      </w:r>
      <w:r w:rsidR="00462A26">
        <w:rPr>
          <w:rFonts w:ascii="Times New Roman" w:hAnsi="Times New Roman"/>
          <w:sz w:val="24"/>
          <w:szCs w:val="24"/>
        </w:rPr>
        <w:t>.</w:t>
      </w:r>
      <w:r w:rsidR="009A6CF6">
        <w:rPr>
          <w:rFonts w:ascii="Times New Roman" w:hAnsi="Times New Roman"/>
          <w:sz w:val="24"/>
          <w:szCs w:val="24"/>
        </w:rPr>
        <w:t xml:space="preserve">  Planned surface work will include re-establishing road access to the historic Captain Mine</w:t>
      </w:r>
      <w:r w:rsidR="00735F6E">
        <w:rPr>
          <w:rFonts w:ascii="Times New Roman" w:hAnsi="Times New Roman"/>
          <w:sz w:val="24"/>
          <w:szCs w:val="24"/>
        </w:rPr>
        <w:t>,</w:t>
      </w:r>
      <w:r w:rsidR="009A6CF6">
        <w:rPr>
          <w:rFonts w:ascii="Times New Roman" w:hAnsi="Times New Roman"/>
          <w:sz w:val="24"/>
          <w:szCs w:val="24"/>
        </w:rPr>
        <w:t xml:space="preserve"> where previous sampling by the Company has returned up to 2220 g/t Ag from a vein exposed in underground workings</w:t>
      </w:r>
      <w:r w:rsidR="00735F6E">
        <w:rPr>
          <w:rFonts w:ascii="Times New Roman" w:hAnsi="Times New Roman"/>
          <w:sz w:val="24"/>
          <w:szCs w:val="24"/>
        </w:rPr>
        <w:t xml:space="preserve"> over a strike length of 100 metres</w:t>
      </w:r>
      <w:r w:rsidR="009A6CF6">
        <w:rPr>
          <w:rFonts w:ascii="Times New Roman" w:hAnsi="Times New Roman"/>
          <w:sz w:val="24"/>
          <w:szCs w:val="24"/>
        </w:rPr>
        <w:t>.  At Captain a large zone of alteration surround</w:t>
      </w:r>
      <w:r w:rsidR="008C5A85">
        <w:rPr>
          <w:rFonts w:ascii="Times New Roman" w:hAnsi="Times New Roman"/>
          <w:sz w:val="24"/>
          <w:szCs w:val="24"/>
        </w:rPr>
        <w:t>s</w:t>
      </w:r>
      <w:r w:rsidR="009A6CF6">
        <w:rPr>
          <w:rFonts w:ascii="Times New Roman" w:hAnsi="Times New Roman"/>
          <w:sz w:val="24"/>
          <w:szCs w:val="24"/>
        </w:rPr>
        <w:t xml:space="preserve"> the known high</w:t>
      </w:r>
      <w:r w:rsidR="00735F6E">
        <w:rPr>
          <w:rFonts w:ascii="Times New Roman" w:hAnsi="Times New Roman"/>
          <w:sz w:val="24"/>
          <w:szCs w:val="24"/>
        </w:rPr>
        <w:t>-</w:t>
      </w:r>
      <w:r w:rsidR="009A6CF6">
        <w:rPr>
          <w:rFonts w:ascii="Times New Roman" w:hAnsi="Times New Roman"/>
          <w:sz w:val="24"/>
          <w:szCs w:val="24"/>
        </w:rPr>
        <w:t>grade veins</w:t>
      </w:r>
      <w:r w:rsidR="008C5A85">
        <w:rPr>
          <w:rFonts w:ascii="Times New Roman" w:hAnsi="Times New Roman"/>
          <w:sz w:val="24"/>
          <w:szCs w:val="24"/>
        </w:rPr>
        <w:t>, and this alteration zone will be</w:t>
      </w:r>
      <w:r w:rsidR="009A6CF6">
        <w:rPr>
          <w:rFonts w:ascii="Times New Roman" w:hAnsi="Times New Roman"/>
          <w:sz w:val="24"/>
          <w:szCs w:val="24"/>
        </w:rPr>
        <w:t xml:space="preserve"> trenched and </w:t>
      </w:r>
      <w:r w:rsidR="00735F6E">
        <w:rPr>
          <w:rFonts w:ascii="Times New Roman" w:hAnsi="Times New Roman"/>
          <w:sz w:val="24"/>
          <w:szCs w:val="24"/>
        </w:rPr>
        <w:t xml:space="preserve">sampled to </w:t>
      </w:r>
      <w:r w:rsidR="009A6CF6">
        <w:rPr>
          <w:rFonts w:ascii="Times New Roman" w:hAnsi="Times New Roman"/>
          <w:sz w:val="24"/>
          <w:szCs w:val="24"/>
        </w:rPr>
        <w:t>evaluate</w:t>
      </w:r>
      <w:r w:rsidR="00735F6E">
        <w:rPr>
          <w:rFonts w:ascii="Times New Roman" w:hAnsi="Times New Roman"/>
          <w:sz w:val="24"/>
          <w:szCs w:val="24"/>
        </w:rPr>
        <w:t xml:space="preserve"> the potential for additional veins </w:t>
      </w:r>
      <w:r w:rsidR="008C5A85">
        <w:rPr>
          <w:rFonts w:ascii="Times New Roman" w:hAnsi="Times New Roman"/>
          <w:sz w:val="24"/>
          <w:szCs w:val="24"/>
        </w:rPr>
        <w:t>as well as</w:t>
      </w:r>
      <w:r w:rsidR="00735F6E">
        <w:rPr>
          <w:rFonts w:ascii="Times New Roman" w:hAnsi="Times New Roman"/>
          <w:sz w:val="24"/>
          <w:szCs w:val="24"/>
        </w:rPr>
        <w:t xml:space="preserve"> bulk minable</w:t>
      </w:r>
      <w:r w:rsidR="009A6CF6">
        <w:rPr>
          <w:rFonts w:ascii="Times New Roman" w:hAnsi="Times New Roman"/>
          <w:sz w:val="24"/>
          <w:szCs w:val="24"/>
        </w:rPr>
        <w:t xml:space="preserve"> copper-gold-silve</w:t>
      </w:r>
      <w:r w:rsidR="00735F6E">
        <w:rPr>
          <w:rFonts w:ascii="Times New Roman" w:hAnsi="Times New Roman"/>
          <w:sz w:val="24"/>
          <w:szCs w:val="24"/>
        </w:rPr>
        <w:t>r</w:t>
      </w:r>
      <w:r w:rsidR="009A6CF6">
        <w:rPr>
          <w:rFonts w:ascii="Times New Roman" w:hAnsi="Times New Roman"/>
          <w:sz w:val="24"/>
          <w:szCs w:val="24"/>
        </w:rPr>
        <w:t>.</w:t>
      </w:r>
    </w:p>
    <w:p w14:paraId="643813CF" w14:textId="0DE88A96" w:rsidR="002C6289" w:rsidRDefault="002C6289" w:rsidP="00B04C93">
      <w:pPr>
        <w:spacing w:after="0" w:line="240" w:lineRule="auto"/>
        <w:jc w:val="both"/>
        <w:rPr>
          <w:rFonts w:ascii="Times New Roman" w:hAnsi="Times New Roman"/>
          <w:sz w:val="24"/>
          <w:szCs w:val="24"/>
        </w:rPr>
      </w:pPr>
    </w:p>
    <w:p w14:paraId="2D19645A" w14:textId="615D8F27" w:rsidR="003A3DD9" w:rsidRPr="003A3DD9" w:rsidRDefault="003A3DD9" w:rsidP="00B04C93">
      <w:pPr>
        <w:spacing w:after="0" w:line="240" w:lineRule="auto"/>
        <w:jc w:val="both"/>
        <w:rPr>
          <w:rFonts w:ascii="Times New Roman" w:hAnsi="Times New Roman"/>
          <w:b/>
          <w:sz w:val="24"/>
          <w:szCs w:val="24"/>
        </w:rPr>
      </w:pPr>
      <w:r w:rsidRPr="003A3DD9">
        <w:rPr>
          <w:rFonts w:ascii="Times New Roman" w:hAnsi="Times New Roman"/>
          <w:b/>
          <w:sz w:val="24"/>
          <w:szCs w:val="24"/>
        </w:rPr>
        <w:t>Permits and Timing</w:t>
      </w:r>
    </w:p>
    <w:p w14:paraId="4CEBE279" w14:textId="241822E1" w:rsidR="008C5A85" w:rsidRDefault="00195F1C" w:rsidP="003A3DD9">
      <w:pPr>
        <w:snapToGrid w:val="0"/>
        <w:spacing w:after="0" w:line="240" w:lineRule="auto"/>
        <w:jc w:val="both"/>
        <w:outlineLvl w:val="0"/>
        <w:rPr>
          <w:rFonts w:ascii="Times New Roman" w:hAnsi="Times New Roman"/>
          <w:color w:val="3C3C3C"/>
          <w:sz w:val="24"/>
          <w:szCs w:val="24"/>
        </w:rPr>
      </w:pPr>
      <w:r>
        <w:rPr>
          <w:rFonts w:ascii="Times New Roman" w:hAnsi="Times New Roman"/>
          <w:sz w:val="24"/>
          <w:szCs w:val="24"/>
        </w:rPr>
        <w:t>The Company has applied for a new 5</w:t>
      </w:r>
      <w:r w:rsidR="008C5A85">
        <w:rPr>
          <w:rFonts w:ascii="Times New Roman" w:hAnsi="Times New Roman"/>
          <w:sz w:val="24"/>
          <w:szCs w:val="24"/>
        </w:rPr>
        <w:t>-</w:t>
      </w:r>
      <w:r>
        <w:rPr>
          <w:rFonts w:ascii="Times New Roman" w:hAnsi="Times New Roman"/>
          <w:sz w:val="24"/>
          <w:szCs w:val="24"/>
        </w:rPr>
        <w:t xml:space="preserve">year exploration permit </w:t>
      </w:r>
      <w:r w:rsidR="003A3DD9">
        <w:rPr>
          <w:rFonts w:ascii="Times New Roman" w:hAnsi="Times New Roman"/>
          <w:sz w:val="24"/>
          <w:szCs w:val="24"/>
        </w:rPr>
        <w:t xml:space="preserve">which will include up to 150 new drill holes and allow the Company to maintain its exploration camp and conduct additional trenching, line cutting, and geophysical surveys.   </w:t>
      </w:r>
      <w:r w:rsidR="00FF6CC4">
        <w:rPr>
          <w:rFonts w:ascii="Times New Roman" w:hAnsi="Times New Roman"/>
          <w:sz w:val="24"/>
          <w:szCs w:val="24"/>
        </w:rPr>
        <w:t xml:space="preserve"> </w:t>
      </w:r>
      <w:r w:rsidR="003A3DD9">
        <w:rPr>
          <w:rFonts w:ascii="Times New Roman" w:hAnsi="Times New Roman"/>
          <w:sz w:val="24"/>
          <w:szCs w:val="24"/>
        </w:rPr>
        <w:t>T</w:t>
      </w:r>
      <w:r w:rsidR="00BA62BF">
        <w:rPr>
          <w:rFonts w:ascii="Times New Roman" w:hAnsi="Times New Roman"/>
          <w:sz w:val="24"/>
          <w:szCs w:val="24"/>
        </w:rPr>
        <w:t xml:space="preserve">he </w:t>
      </w:r>
      <w:r w:rsidR="003A3DD9">
        <w:rPr>
          <w:rFonts w:ascii="Times New Roman" w:hAnsi="Times New Roman"/>
          <w:sz w:val="24"/>
          <w:szCs w:val="24"/>
        </w:rPr>
        <w:t xml:space="preserve">exploration </w:t>
      </w:r>
      <w:r w:rsidR="00BA62BF">
        <w:rPr>
          <w:rFonts w:ascii="Times New Roman" w:hAnsi="Times New Roman"/>
          <w:sz w:val="24"/>
          <w:szCs w:val="24"/>
        </w:rPr>
        <w:t xml:space="preserve">program </w:t>
      </w:r>
      <w:r w:rsidR="00FF6CC4">
        <w:rPr>
          <w:rFonts w:ascii="Times New Roman" w:hAnsi="Times New Roman"/>
          <w:sz w:val="24"/>
          <w:szCs w:val="24"/>
        </w:rPr>
        <w:t>is anticipated to start in June</w:t>
      </w:r>
      <w:r w:rsidR="003A3DD9">
        <w:rPr>
          <w:rFonts w:ascii="Times New Roman" w:hAnsi="Times New Roman"/>
          <w:sz w:val="24"/>
          <w:szCs w:val="24"/>
        </w:rPr>
        <w:t xml:space="preserve"> pending receipt of all required permits</w:t>
      </w:r>
      <w:r w:rsidR="008C5A85">
        <w:rPr>
          <w:rFonts w:ascii="Times New Roman" w:hAnsi="Times New Roman"/>
          <w:sz w:val="24"/>
          <w:szCs w:val="24"/>
        </w:rPr>
        <w:t xml:space="preserve"> and funding</w:t>
      </w:r>
      <w:r w:rsidR="003A3DD9">
        <w:rPr>
          <w:rFonts w:ascii="Times New Roman" w:hAnsi="Times New Roman"/>
          <w:sz w:val="24"/>
          <w:szCs w:val="24"/>
        </w:rPr>
        <w:t>.</w:t>
      </w:r>
      <w:r w:rsidR="00D76F5A">
        <w:rPr>
          <w:rFonts w:ascii="Times New Roman" w:hAnsi="Times New Roman"/>
          <w:sz w:val="24"/>
          <w:szCs w:val="24"/>
        </w:rPr>
        <w:t xml:space="preserve"> </w:t>
      </w:r>
      <w:r w:rsidR="003A3DD9">
        <w:rPr>
          <w:rFonts w:ascii="Times New Roman" w:hAnsi="Times New Roman"/>
          <w:sz w:val="24"/>
          <w:szCs w:val="24"/>
        </w:rPr>
        <w:t xml:space="preserve"> The final scope and cost of the drilling and exploration program will be finalized</w:t>
      </w:r>
      <w:r w:rsidR="008C5A85">
        <w:rPr>
          <w:rFonts w:ascii="Times New Roman" w:hAnsi="Times New Roman"/>
          <w:sz w:val="24"/>
          <w:szCs w:val="24"/>
        </w:rPr>
        <w:t xml:space="preserve"> in April or May</w:t>
      </w:r>
      <w:r w:rsidR="003A3DD9">
        <w:rPr>
          <w:rFonts w:ascii="Times New Roman" w:hAnsi="Times New Roman"/>
          <w:sz w:val="24"/>
          <w:szCs w:val="24"/>
        </w:rPr>
        <w:t>.</w:t>
      </w:r>
      <w:r w:rsidR="00D76F5A">
        <w:rPr>
          <w:rFonts w:ascii="Times New Roman" w:hAnsi="Times New Roman"/>
          <w:sz w:val="24"/>
          <w:szCs w:val="24"/>
        </w:rPr>
        <w:t xml:space="preserve"> </w:t>
      </w:r>
      <w:r w:rsidR="003A3DD9">
        <w:rPr>
          <w:rFonts w:ascii="Times New Roman" w:hAnsi="Times New Roman"/>
          <w:sz w:val="24"/>
          <w:szCs w:val="24"/>
        </w:rPr>
        <w:t xml:space="preserve"> </w:t>
      </w:r>
      <w:r w:rsidR="00B04C93">
        <w:rPr>
          <w:rFonts w:ascii="Times New Roman" w:hAnsi="Times New Roman"/>
          <w:sz w:val="24"/>
          <w:szCs w:val="24"/>
        </w:rPr>
        <w:t xml:space="preserve">To date the </w:t>
      </w:r>
      <w:r w:rsidR="00B04C93">
        <w:rPr>
          <w:rFonts w:ascii="Times New Roman" w:hAnsi="Times New Roman"/>
          <w:color w:val="3C3C3C"/>
          <w:sz w:val="24"/>
          <w:szCs w:val="24"/>
        </w:rPr>
        <w:t xml:space="preserve">Company has drilled over 122,066 metres of core in 353 holes on the Ootsa Property and has an excellent track record of </w:t>
      </w:r>
      <w:r w:rsidR="00B04C93">
        <w:rPr>
          <w:rFonts w:ascii="Times New Roman" w:hAnsi="Times New Roman"/>
          <w:color w:val="3C3C3C"/>
          <w:sz w:val="24"/>
          <w:szCs w:val="24"/>
        </w:rPr>
        <w:lastRenderedPageBreak/>
        <w:t xml:space="preserve">making new discoveries and expanding known zones.   </w:t>
      </w:r>
      <w:r w:rsidR="008C5A85">
        <w:rPr>
          <w:rFonts w:ascii="Times New Roman" w:hAnsi="Times New Roman"/>
          <w:color w:val="3C3C3C"/>
          <w:sz w:val="24"/>
          <w:szCs w:val="24"/>
        </w:rPr>
        <w:t xml:space="preserve">Additional information on the Ootsa Property is available on the Company’s website at </w:t>
      </w:r>
      <w:hyperlink r:id="rId7" w:history="1">
        <w:r w:rsidR="008C5A85" w:rsidRPr="00FB5B5F">
          <w:rPr>
            <w:rStyle w:val="Hyperlink"/>
            <w:rFonts w:ascii="Times New Roman" w:hAnsi="Times New Roman"/>
            <w:sz w:val="24"/>
            <w:szCs w:val="24"/>
          </w:rPr>
          <w:t>www.surgecopper.com</w:t>
        </w:r>
      </w:hyperlink>
      <w:r w:rsidR="008C5A85">
        <w:rPr>
          <w:rFonts w:ascii="Times New Roman" w:hAnsi="Times New Roman"/>
          <w:color w:val="3C3C3C"/>
          <w:sz w:val="24"/>
          <w:szCs w:val="24"/>
        </w:rPr>
        <w:t>.</w:t>
      </w:r>
    </w:p>
    <w:p w14:paraId="290D6859" w14:textId="6AEDDB7F" w:rsidR="003A3DD9" w:rsidRDefault="00B04C93" w:rsidP="00B04C93">
      <w:pPr>
        <w:snapToGrid w:val="0"/>
        <w:spacing w:after="0" w:line="240" w:lineRule="auto"/>
        <w:jc w:val="both"/>
        <w:outlineLvl w:val="0"/>
        <w:rPr>
          <w:rFonts w:ascii="Times New Roman" w:hAnsi="Times New Roman"/>
        </w:rPr>
      </w:pPr>
      <w:r>
        <w:rPr>
          <w:rFonts w:ascii="Times New Roman" w:hAnsi="Times New Roman"/>
          <w:color w:val="3C3C3C"/>
          <w:sz w:val="24"/>
          <w:szCs w:val="24"/>
        </w:rPr>
        <w:t xml:space="preserve"> </w:t>
      </w:r>
    </w:p>
    <w:p w14:paraId="73A2030B" w14:textId="084E178E" w:rsidR="00DE63FB" w:rsidRPr="00F431CB" w:rsidRDefault="00DE63FB" w:rsidP="00B04C93">
      <w:pPr>
        <w:snapToGrid w:val="0"/>
        <w:spacing w:after="0" w:line="240" w:lineRule="auto"/>
        <w:jc w:val="both"/>
        <w:outlineLvl w:val="0"/>
        <w:rPr>
          <w:rStyle w:val="Strong"/>
          <w:rFonts w:ascii="Times New Roman" w:hAnsi="Times New Roman"/>
          <w:color w:val="3C3C3C"/>
          <w:sz w:val="24"/>
          <w:szCs w:val="24"/>
        </w:rPr>
      </w:pPr>
      <w:r w:rsidRPr="00F431CB">
        <w:rPr>
          <w:rStyle w:val="Strong"/>
          <w:rFonts w:ascii="Times New Roman" w:hAnsi="Times New Roman"/>
          <w:color w:val="3C3C3C"/>
          <w:sz w:val="24"/>
          <w:szCs w:val="24"/>
        </w:rPr>
        <w:t xml:space="preserve">About </w:t>
      </w:r>
      <w:r>
        <w:rPr>
          <w:rStyle w:val="Strong"/>
          <w:rFonts w:ascii="Times New Roman" w:hAnsi="Times New Roman"/>
          <w:color w:val="3C3C3C"/>
          <w:sz w:val="24"/>
          <w:szCs w:val="24"/>
        </w:rPr>
        <w:t xml:space="preserve">Surge Copper Corp.  </w:t>
      </w:r>
    </w:p>
    <w:p w14:paraId="295BA1DA" w14:textId="77777777" w:rsidR="00DE63FB" w:rsidRPr="00034F80" w:rsidRDefault="00DE63FB" w:rsidP="00B04C93">
      <w:pPr>
        <w:snapToGrid w:val="0"/>
        <w:spacing w:after="0" w:line="240" w:lineRule="auto"/>
        <w:jc w:val="both"/>
        <w:outlineLvl w:val="0"/>
        <w:rPr>
          <w:rFonts w:ascii="Times New Roman" w:hAnsi="Times New Roman"/>
          <w:b/>
          <w:bCs/>
          <w:color w:val="000000"/>
          <w:sz w:val="24"/>
          <w:szCs w:val="24"/>
        </w:rPr>
      </w:pPr>
      <w:r>
        <w:rPr>
          <w:rFonts w:ascii="Times New Roman" w:hAnsi="Times New Roman"/>
          <w:color w:val="000000"/>
          <w:sz w:val="24"/>
          <w:szCs w:val="24"/>
        </w:rPr>
        <w:t xml:space="preserve">The Company </w:t>
      </w:r>
      <w:r w:rsidRPr="00034F80">
        <w:rPr>
          <w:rFonts w:ascii="Times New Roman" w:hAnsi="Times New Roman"/>
          <w:color w:val="000000"/>
          <w:sz w:val="24"/>
          <w:szCs w:val="24"/>
        </w:rPr>
        <w:t xml:space="preserve">owns a 100% interest in the Ootsa Property, an advanced stage exploration project containing the East Seel, West Seel and Ox porphyry deposits located adjacent to the open pit Huckleberry copper mine.  The property contains NI 43-101 compliant resources of 224 million tonnes in the Measured and Indicated categories with contained metals of 1.1 billion pounds of copper and 1 million ounces of gold as summarized in the table below.   </w:t>
      </w:r>
    </w:p>
    <w:p w14:paraId="3B5CEE8E" w14:textId="77777777" w:rsidR="00DE63FB" w:rsidRPr="00112A2F" w:rsidRDefault="00DE63FB" w:rsidP="005C6D1E">
      <w:pPr>
        <w:spacing w:after="0" w:line="240" w:lineRule="auto"/>
        <w:rPr>
          <w:rFonts w:ascii="Times New Roman" w:hAnsi="Times New Roman"/>
          <w:color w:val="3C3C3C"/>
          <w:u w:val="single"/>
        </w:rPr>
      </w:pPr>
      <w:r w:rsidRPr="00112A2F">
        <w:rPr>
          <w:rFonts w:ascii="Times New Roman" w:hAnsi="Times New Roman"/>
          <w:color w:val="3C3C3C"/>
          <w:sz w:val="24"/>
          <w:szCs w:val="24"/>
        </w:rPr>
        <w:t xml:space="preserve"> </w:t>
      </w:r>
    </w:p>
    <w:p w14:paraId="77388690" w14:textId="77777777" w:rsidR="00DE63FB" w:rsidRPr="008C50A5" w:rsidRDefault="00DE63FB" w:rsidP="005C6D1E">
      <w:pPr>
        <w:tabs>
          <w:tab w:val="left" w:pos="-270"/>
          <w:tab w:val="left" w:pos="0"/>
        </w:tabs>
        <w:spacing w:after="0" w:line="240" w:lineRule="auto"/>
        <w:ind w:right="-777"/>
        <w:rPr>
          <w:rFonts w:ascii="Times New Roman" w:hAnsi="Times New Roman"/>
          <w:b/>
          <w:bCs/>
          <w:sz w:val="18"/>
          <w:szCs w:val="18"/>
          <w:shd w:val="clear" w:color="auto" w:fill="FFFFFF"/>
        </w:rPr>
      </w:pPr>
      <w:r>
        <w:rPr>
          <w:rFonts w:ascii="Times New Roman" w:hAnsi="Times New Roman"/>
          <w:b/>
          <w:bCs/>
          <w:shd w:val="clear" w:color="auto" w:fill="FFFFFF"/>
        </w:rPr>
        <w:t xml:space="preserve">    </w:t>
      </w:r>
      <w:r w:rsidRPr="008C50A5">
        <w:rPr>
          <w:rFonts w:ascii="Times New Roman" w:hAnsi="Times New Roman"/>
          <w:b/>
          <w:bCs/>
          <w:sz w:val="18"/>
          <w:szCs w:val="18"/>
          <w:shd w:val="clear" w:color="auto" w:fill="FFFFFF"/>
        </w:rPr>
        <w:t xml:space="preserve">                Ootsa Project Pit Constrained Mineral Resource Estimate at $8.50/t NSR Cut-off Value</w:t>
      </w:r>
    </w:p>
    <w:tbl>
      <w:tblPr>
        <w:tblW w:w="8789" w:type="dxa"/>
        <w:tblInd w:w="108"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994"/>
        <w:gridCol w:w="991"/>
        <w:gridCol w:w="686"/>
        <w:gridCol w:w="567"/>
        <w:gridCol w:w="567"/>
        <w:gridCol w:w="667"/>
        <w:gridCol w:w="508"/>
        <w:gridCol w:w="744"/>
        <w:gridCol w:w="735"/>
        <w:gridCol w:w="735"/>
        <w:gridCol w:w="744"/>
        <w:gridCol w:w="851"/>
      </w:tblGrid>
      <w:tr w:rsidR="00DE63FB" w:rsidRPr="00112A2F" w14:paraId="7DFE39CB" w14:textId="77777777" w:rsidTr="00C7103B">
        <w:trPr>
          <w:trHeight w:val="438"/>
        </w:trPr>
        <w:tc>
          <w:tcPr>
            <w:tcW w:w="994"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4E8F3F5E" w14:textId="77777777" w:rsidR="00DE63FB" w:rsidRPr="00112A2F" w:rsidRDefault="00DE63FB" w:rsidP="005C6D1E">
            <w:pPr>
              <w:spacing w:after="0" w:line="240" w:lineRule="auto"/>
              <w:ind w:left="-28" w:right="-98"/>
              <w:jc w:val="center"/>
              <w:rPr>
                <w:rFonts w:ascii="Times New Roman" w:hAnsi="Times New Roman"/>
                <w:b/>
                <w:sz w:val="18"/>
                <w:szCs w:val="18"/>
              </w:rPr>
            </w:pPr>
            <w:r w:rsidRPr="00112A2F">
              <w:rPr>
                <w:rFonts w:ascii="Times New Roman" w:hAnsi="Times New Roman"/>
                <w:b/>
                <w:sz w:val="18"/>
                <w:szCs w:val="18"/>
              </w:rPr>
              <w:t>Category</w:t>
            </w:r>
          </w:p>
        </w:tc>
        <w:tc>
          <w:tcPr>
            <w:tcW w:w="991"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687ED921" w14:textId="77777777" w:rsidR="00DE63FB" w:rsidRPr="00112A2F" w:rsidRDefault="00DE63FB" w:rsidP="005C6D1E">
            <w:pPr>
              <w:spacing w:after="0" w:line="240" w:lineRule="auto"/>
              <w:jc w:val="center"/>
              <w:rPr>
                <w:rFonts w:ascii="Times New Roman" w:hAnsi="Times New Roman"/>
                <w:b/>
                <w:sz w:val="18"/>
                <w:szCs w:val="18"/>
              </w:rPr>
            </w:pPr>
            <w:r w:rsidRPr="00112A2F">
              <w:rPr>
                <w:rFonts w:ascii="Times New Roman" w:hAnsi="Times New Roman"/>
                <w:b/>
                <w:sz w:val="18"/>
                <w:szCs w:val="18"/>
              </w:rPr>
              <w:t>Tonnes (‘000’s)</w:t>
            </w:r>
          </w:p>
        </w:tc>
        <w:tc>
          <w:tcPr>
            <w:tcW w:w="686" w:type="dxa"/>
            <w:tcBorders>
              <w:top w:val="double" w:sz="6" w:space="0" w:color="auto"/>
              <w:left w:val="single" w:sz="4" w:space="0" w:color="auto"/>
              <w:bottom w:val="double" w:sz="6" w:space="0" w:color="auto"/>
              <w:right w:val="single" w:sz="4" w:space="0" w:color="auto"/>
            </w:tcBorders>
          </w:tcPr>
          <w:p w14:paraId="655CBAFA" w14:textId="77777777" w:rsidR="00DE63FB" w:rsidRPr="00112A2F" w:rsidRDefault="00DE63FB" w:rsidP="005C6D1E">
            <w:pPr>
              <w:spacing w:after="0" w:line="240" w:lineRule="auto"/>
              <w:jc w:val="center"/>
              <w:rPr>
                <w:rFonts w:ascii="Times New Roman" w:hAnsi="Times New Roman"/>
                <w:b/>
                <w:sz w:val="18"/>
                <w:szCs w:val="18"/>
              </w:rPr>
            </w:pPr>
            <w:r w:rsidRPr="00112A2F">
              <w:rPr>
                <w:rFonts w:ascii="Times New Roman" w:hAnsi="Times New Roman"/>
                <w:b/>
                <w:sz w:val="18"/>
                <w:szCs w:val="18"/>
              </w:rPr>
              <w:t>CuEq</w:t>
            </w:r>
          </w:p>
          <w:p w14:paraId="317DE98E" w14:textId="77777777" w:rsidR="00DE63FB" w:rsidRPr="00112A2F" w:rsidRDefault="00DE63FB" w:rsidP="005C6D1E">
            <w:pPr>
              <w:spacing w:after="0" w:line="240" w:lineRule="auto"/>
              <w:jc w:val="center"/>
              <w:rPr>
                <w:rFonts w:ascii="Times New Roman" w:hAnsi="Times New Roman"/>
                <w:b/>
                <w:sz w:val="18"/>
                <w:szCs w:val="18"/>
              </w:rPr>
            </w:pPr>
            <w:r w:rsidRPr="00112A2F">
              <w:rPr>
                <w:rFonts w:ascii="Times New Roman" w:hAnsi="Times New Roman"/>
                <w:b/>
                <w:sz w:val="18"/>
                <w:szCs w:val="18"/>
              </w:rPr>
              <w:t>%</w:t>
            </w:r>
          </w:p>
        </w:tc>
        <w:tc>
          <w:tcPr>
            <w:tcW w:w="567" w:type="dxa"/>
            <w:tcBorders>
              <w:top w:val="double" w:sz="6" w:space="0" w:color="auto"/>
              <w:left w:val="single" w:sz="4" w:space="0" w:color="auto"/>
              <w:bottom w:val="double" w:sz="6" w:space="0" w:color="auto"/>
              <w:right w:val="single" w:sz="4" w:space="0" w:color="auto"/>
            </w:tcBorders>
            <w:vAlign w:val="center"/>
          </w:tcPr>
          <w:p w14:paraId="4675B32B" w14:textId="77777777" w:rsidR="00DE63FB" w:rsidRPr="00112A2F" w:rsidRDefault="00DE63FB" w:rsidP="005C6D1E">
            <w:pPr>
              <w:spacing w:after="0" w:line="240" w:lineRule="auto"/>
              <w:jc w:val="center"/>
              <w:rPr>
                <w:rFonts w:ascii="Times New Roman" w:hAnsi="Times New Roman"/>
                <w:b/>
                <w:sz w:val="18"/>
                <w:szCs w:val="18"/>
              </w:rPr>
            </w:pPr>
            <w:r w:rsidRPr="00112A2F">
              <w:rPr>
                <w:rFonts w:ascii="Times New Roman" w:hAnsi="Times New Roman"/>
                <w:b/>
                <w:sz w:val="18"/>
                <w:szCs w:val="18"/>
              </w:rPr>
              <w:t>Cu %</w:t>
            </w:r>
          </w:p>
        </w:tc>
        <w:tc>
          <w:tcPr>
            <w:tcW w:w="567" w:type="dxa"/>
            <w:tcBorders>
              <w:top w:val="double" w:sz="6" w:space="0" w:color="auto"/>
              <w:left w:val="single" w:sz="4" w:space="0" w:color="auto"/>
              <w:bottom w:val="double" w:sz="6" w:space="0" w:color="auto"/>
              <w:right w:val="single" w:sz="4" w:space="0" w:color="auto"/>
            </w:tcBorders>
            <w:vAlign w:val="center"/>
          </w:tcPr>
          <w:p w14:paraId="2C675682" w14:textId="77777777" w:rsidR="00DE63FB" w:rsidRPr="00112A2F" w:rsidRDefault="00DE63FB" w:rsidP="005C6D1E">
            <w:pPr>
              <w:spacing w:after="0" w:line="240" w:lineRule="auto"/>
              <w:jc w:val="center"/>
              <w:rPr>
                <w:rFonts w:ascii="Times New Roman" w:hAnsi="Times New Roman"/>
                <w:b/>
                <w:sz w:val="18"/>
                <w:szCs w:val="18"/>
              </w:rPr>
            </w:pPr>
            <w:r w:rsidRPr="00112A2F">
              <w:rPr>
                <w:rFonts w:ascii="Times New Roman" w:hAnsi="Times New Roman"/>
                <w:b/>
                <w:sz w:val="18"/>
                <w:szCs w:val="18"/>
              </w:rPr>
              <w:t>Au</w:t>
            </w:r>
          </w:p>
          <w:p w14:paraId="136E838F" w14:textId="77777777" w:rsidR="00DE63FB" w:rsidRPr="00112A2F" w:rsidRDefault="00DE63FB" w:rsidP="005C6D1E">
            <w:pPr>
              <w:spacing w:after="0" w:line="240" w:lineRule="auto"/>
              <w:jc w:val="center"/>
              <w:rPr>
                <w:rFonts w:ascii="Times New Roman" w:hAnsi="Times New Roman"/>
                <w:b/>
                <w:sz w:val="18"/>
                <w:szCs w:val="18"/>
              </w:rPr>
            </w:pPr>
            <w:r w:rsidRPr="00112A2F">
              <w:rPr>
                <w:rFonts w:ascii="Times New Roman" w:hAnsi="Times New Roman"/>
                <w:b/>
                <w:sz w:val="18"/>
                <w:szCs w:val="18"/>
              </w:rPr>
              <w:t xml:space="preserve"> g/t</w:t>
            </w:r>
          </w:p>
        </w:tc>
        <w:tc>
          <w:tcPr>
            <w:tcW w:w="667" w:type="dxa"/>
            <w:tcBorders>
              <w:top w:val="double" w:sz="6" w:space="0" w:color="auto"/>
              <w:left w:val="single" w:sz="4" w:space="0" w:color="auto"/>
              <w:bottom w:val="double" w:sz="6" w:space="0" w:color="auto"/>
              <w:right w:val="single" w:sz="4" w:space="0" w:color="auto"/>
            </w:tcBorders>
            <w:shd w:val="clear" w:color="auto" w:fill="auto"/>
            <w:noWrap/>
            <w:vAlign w:val="center"/>
          </w:tcPr>
          <w:p w14:paraId="11B9BF9F" w14:textId="77777777" w:rsidR="00DE63FB" w:rsidRPr="00112A2F" w:rsidRDefault="00DE63FB" w:rsidP="005C6D1E">
            <w:pPr>
              <w:spacing w:after="0" w:line="240" w:lineRule="auto"/>
              <w:jc w:val="center"/>
              <w:rPr>
                <w:rFonts w:ascii="Times New Roman" w:hAnsi="Times New Roman"/>
                <w:b/>
                <w:sz w:val="18"/>
                <w:szCs w:val="18"/>
              </w:rPr>
            </w:pPr>
            <w:r w:rsidRPr="00112A2F">
              <w:rPr>
                <w:rFonts w:ascii="Times New Roman" w:hAnsi="Times New Roman"/>
                <w:b/>
                <w:sz w:val="18"/>
                <w:szCs w:val="18"/>
              </w:rPr>
              <w:t>Mo</w:t>
            </w:r>
          </w:p>
          <w:p w14:paraId="1DF8F2DB" w14:textId="77777777" w:rsidR="00DE63FB" w:rsidRPr="00112A2F" w:rsidRDefault="00DE63FB" w:rsidP="005C6D1E">
            <w:pPr>
              <w:spacing w:after="0" w:line="240" w:lineRule="auto"/>
              <w:jc w:val="center"/>
              <w:rPr>
                <w:rFonts w:ascii="Times New Roman" w:hAnsi="Times New Roman"/>
                <w:b/>
                <w:sz w:val="18"/>
                <w:szCs w:val="18"/>
              </w:rPr>
            </w:pPr>
            <w:r w:rsidRPr="00112A2F">
              <w:rPr>
                <w:rFonts w:ascii="Times New Roman" w:hAnsi="Times New Roman"/>
                <w:b/>
                <w:sz w:val="18"/>
                <w:szCs w:val="18"/>
              </w:rPr>
              <w:t xml:space="preserve"> %</w:t>
            </w:r>
          </w:p>
        </w:tc>
        <w:tc>
          <w:tcPr>
            <w:tcW w:w="508" w:type="dxa"/>
            <w:tcBorders>
              <w:top w:val="double" w:sz="6" w:space="0" w:color="auto"/>
              <w:left w:val="single" w:sz="4" w:space="0" w:color="auto"/>
              <w:bottom w:val="double" w:sz="6" w:space="0" w:color="auto"/>
              <w:right w:val="single" w:sz="4" w:space="0" w:color="auto"/>
            </w:tcBorders>
            <w:shd w:val="clear" w:color="auto" w:fill="auto"/>
            <w:noWrap/>
            <w:vAlign w:val="center"/>
          </w:tcPr>
          <w:p w14:paraId="728988F5" w14:textId="77777777" w:rsidR="00DE63FB" w:rsidRPr="00112A2F" w:rsidRDefault="00DE63FB" w:rsidP="005C6D1E">
            <w:pPr>
              <w:spacing w:after="0" w:line="240" w:lineRule="auto"/>
              <w:jc w:val="center"/>
              <w:rPr>
                <w:rFonts w:ascii="Times New Roman" w:hAnsi="Times New Roman"/>
                <w:b/>
                <w:sz w:val="18"/>
                <w:szCs w:val="18"/>
              </w:rPr>
            </w:pPr>
            <w:r w:rsidRPr="00112A2F">
              <w:rPr>
                <w:rFonts w:ascii="Times New Roman" w:hAnsi="Times New Roman"/>
                <w:b/>
                <w:sz w:val="18"/>
                <w:szCs w:val="18"/>
              </w:rPr>
              <w:t>Ag g/t</w:t>
            </w:r>
          </w:p>
        </w:tc>
        <w:tc>
          <w:tcPr>
            <w:tcW w:w="744" w:type="dxa"/>
            <w:tcBorders>
              <w:top w:val="double" w:sz="6" w:space="0" w:color="auto"/>
              <w:left w:val="single" w:sz="4" w:space="0" w:color="auto"/>
              <w:bottom w:val="double" w:sz="6" w:space="0" w:color="auto"/>
              <w:right w:val="single" w:sz="4" w:space="0" w:color="auto"/>
            </w:tcBorders>
          </w:tcPr>
          <w:p w14:paraId="21581132" w14:textId="77777777" w:rsidR="00DE63FB" w:rsidRPr="00112A2F" w:rsidRDefault="00DE63FB" w:rsidP="005C6D1E">
            <w:pPr>
              <w:spacing w:after="0" w:line="240" w:lineRule="auto"/>
              <w:jc w:val="center"/>
              <w:rPr>
                <w:rFonts w:ascii="Times New Roman" w:hAnsi="Times New Roman"/>
                <w:b/>
                <w:sz w:val="18"/>
                <w:szCs w:val="18"/>
              </w:rPr>
            </w:pPr>
            <w:r w:rsidRPr="00112A2F">
              <w:rPr>
                <w:rFonts w:ascii="Times New Roman" w:hAnsi="Times New Roman"/>
                <w:b/>
                <w:sz w:val="18"/>
                <w:szCs w:val="18"/>
              </w:rPr>
              <w:t>CuEq</w:t>
            </w:r>
          </w:p>
          <w:p w14:paraId="4A987E1C" w14:textId="77777777" w:rsidR="00DE63FB" w:rsidRPr="00112A2F" w:rsidRDefault="00DE63FB" w:rsidP="005C6D1E">
            <w:pPr>
              <w:spacing w:after="0" w:line="240" w:lineRule="auto"/>
              <w:jc w:val="center"/>
              <w:rPr>
                <w:rFonts w:ascii="Times New Roman" w:hAnsi="Times New Roman"/>
                <w:b/>
                <w:sz w:val="18"/>
                <w:szCs w:val="18"/>
              </w:rPr>
            </w:pPr>
            <w:r w:rsidRPr="00112A2F">
              <w:rPr>
                <w:rFonts w:ascii="Times New Roman" w:hAnsi="Times New Roman"/>
                <w:b/>
                <w:sz w:val="18"/>
                <w:szCs w:val="18"/>
              </w:rPr>
              <w:t>M lbs</w:t>
            </w:r>
          </w:p>
        </w:tc>
        <w:tc>
          <w:tcPr>
            <w:tcW w:w="735" w:type="dxa"/>
            <w:tcBorders>
              <w:top w:val="double" w:sz="6" w:space="0" w:color="auto"/>
              <w:left w:val="single" w:sz="4" w:space="0" w:color="auto"/>
              <w:bottom w:val="double" w:sz="6" w:space="0" w:color="auto"/>
              <w:right w:val="single" w:sz="4" w:space="0" w:color="auto"/>
            </w:tcBorders>
            <w:vAlign w:val="center"/>
          </w:tcPr>
          <w:p w14:paraId="572AD4EF" w14:textId="77777777" w:rsidR="00DE63FB" w:rsidRPr="00112A2F" w:rsidRDefault="00DE63FB" w:rsidP="005C6D1E">
            <w:pPr>
              <w:spacing w:after="0" w:line="240" w:lineRule="auto"/>
              <w:jc w:val="center"/>
              <w:rPr>
                <w:rFonts w:ascii="Times New Roman" w:hAnsi="Times New Roman"/>
                <w:b/>
                <w:sz w:val="18"/>
                <w:szCs w:val="18"/>
              </w:rPr>
            </w:pPr>
            <w:r w:rsidRPr="00112A2F">
              <w:rPr>
                <w:rFonts w:ascii="Times New Roman" w:hAnsi="Times New Roman"/>
                <w:b/>
                <w:sz w:val="18"/>
                <w:szCs w:val="18"/>
              </w:rPr>
              <w:t>Cu</w:t>
            </w:r>
          </w:p>
          <w:p w14:paraId="2137A9B8" w14:textId="77777777" w:rsidR="00DE63FB" w:rsidRPr="00112A2F" w:rsidRDefault="00DE63FB" w:rsidP="005C6D1E">
            <w:pPr>
              <w:spacing w:after="0" w:line="240" w:lineRule="auto"/>
              <w:jc w:val="center"/>
              <w:rPr>
                <w:rFonts w:ascii="Times New Roman" w:hAnsi="Times New Roman"/>
                <w:b/>
                <w:sz w:val="18"/>
                <w:szCs w:val="18"/>
              </w:rPr>
            </w:pPr>
            <w:r w:rsidRPr="00112A2F">
              <w:rPr>
                <w:rFonts w:ascii="Times New Roman" w:hAnsi="Times New Roman"/>
                <w:b/>
                <w:sz w:val="18"/>
                <w:szCs w:val="18"/>
              </w:rPr>
              <w:t>M lbs</w:t>
            </w:r>
          </w:p>
        </w:tc>
        <w:tc>
          <w:tcPr>
            <w:tcW w:w="735" w:type="dxa"/>
            <w:tcBorders>
              <w:top w:val="double" w:sz="6" w:space="0" w:color="auto"/>
              <w:left w:val="single" w:sz="4" w:space="0" w:color="auto"/>
              <w:bottom w:val="double" w:sz="6" w:space="0" w:color="auto"/>
              <w:right w:val="single" w:sz="4" w:space="0" w:color="auto"/>
            </w:tcBorders>
            <w:vAlign w:val="center"/>
          </w:tcPr>
          <w:p w14:paraId="6F76C9F6" w14:textId="77777777" w:rsidR="00DE63FB" w:rsidRPr="00112A2F" w:rsidRDefault="00DE63FB" w:rsidP="005C6D1E">
            <w:pPr>
              <w:spacing w:after="0" w:line="240" w:lineRule="auto"/>
              <w:jc w:val="center"/>
              <w:rPr>
                <w:rFonts w:ascii="Times New Roman" w:hAnsi="Times New Roman"/>
                <w:b/>
                <w:sz w:val="18"/>
                <w:szCs w:val="18"/>
              </w:rPr>
            </w:pPr>
            <w:r w:rsidRPr="00112A2F">
              <w:rPr>
                <w:rFonts w:ascii="Times New Roman" w:hAnsi="Times New Roman"/>
                <w:b/>
                <w:sz w:val="18"/>
                <w:szCs w:val="18"/>
              </w:rPr>
              <w:t xml:space="preserve">Au </w:t>
            </w:r>
          </w:p>
          <w:p w14:paraId="3B2EE591" w14:textId="77777777" w:rsidR="00DE63FB" w:rsidRPr="00112A2F" w:rsidRDefault="00DE63FB" w:rsidP="005C6D1E">
            <w:pPr>
              <w:spacing w:after="0" w:line="240" w:lineRule="auto"/>
              <w:jc w:val="center"/>
              <w:rPr>
                <w:rFonts w:ascii="Times New Roman" w:hAnsi="Times New Roman"/>
                <w:b/>
                <w:sz w:val="18"/>
                <w:szCs w:val="18"/>
              </w:rPr>
            </w:pPr>
            <w:r w:rsidRPr="00112A2F">
              <w:rPr>
                <w:rFonts w:ascii="Times New Roman" w:hAnsi="Times New Roman"/>
                <w:b/>
                <w:sz w:val="18"/>
                <w:szCs w:val="18"/>
              </w:rPr>
              <w:t>K oz</w:t>
            </w:r>
          </w:p>
        </w:tc>
        <w:tc>
          <w:tcPr>
            <w:tcW w:w="744" w:type="dxa"/>
            <w:tcBorders>
              <w:top w:val="double" w:sz="6" w:space="0" w:color="auto"/>
              <w:left w:val="single" w:sz="4" w:space="0" w:color="auto"/>
              <w:bottom w:val="double" w:sz="6" w:space="0" w:color="auto"/>
              <w:right w:val="single" w:sz="4" w:space="0" w:color="auto"/>
            </w:tcBorders>
            <w:shd w:val="clear" w:color="auto" w:fill="auto"/>
            <w:noWrap/>
            <w:vAlign w:val="center"/>
          </w:tcPr>
          <w:p w14:paraId="1129C79E" w14:textId="77777777" w:rsidR="00DE63FB" w:rsidRPr="00112A2F" w:rsidRDefault="00DE63FB" w:rsidP="005C6D1E">
            <w:pPr>
              <w:spacing w:after="0" w:line="240" w:lineRule="auto"/>
              <w:ind w:left="-131" w:right="-82"/>
              <w:jc w:val="center"/>
              <w:rPr>
                <w:rFonts w:ascii="Times New Roman" w:hAnsi="Times New Roman"/>
                <w:b/>
                <w:sz w:val="18"/>
                <w:szCs w:val="18"/>
              </w:rPr>
            </w:pPr>
            <w:r w:rsidRPr="00112A2F">
              <w:rPr>
                <w:rFonts w:ascii="Times New Roman" w:hAnsi="Times New Roman"/>
                <w:b/>
                <w:sz w:val="18"/>
                <w:szCs w:val="18"/>
              </w:rPr>
              <w:t>Mo</w:t>
            </w:r>
          </w:p>
          <w:p w14:paraId="0ADBA702" w14:textId="77777777" w:rsidR="00DE63FB" w:rsidRPr="00112A2F" w:rsidRDefault="00DE63FB" w:rsidP="005C6D1E">
            <w:pPr>
              <w:spacing w:after="0" w:line="240" w:lineRule="auto"/>
              <w:ind w:left="-131" w:right="-82"/>
              <w:jc w:val="center"/>
              <w:rPr>
                <w:rFonts w:ascii="Times New Roman" w:hAnsi="Times New Roman"/>
                <w:b/>
                <w:sz w:val="18"/>
                <w:szCs w:val="18"/>
              </w:rPr>
            </w:pPr>
            <w:r w:rsidRPr="00112A2F">
              <w:rPr>
                <w:rFonts w:ascii="Times New Roman" w:hAnsi="Times New Roman"/>
                <w:b/>
                <w:sz w:val="18"/>
                <w:szCs w:val="18"/>
              </w:rPr>
              <w:t>M lbs</w:t>
            </w:r>
          </w:p>
        </w:tc>
        <w:tc>
          <w:tcPr>
            <w:tcW w:w="851" w:type="dxa"/>
            <w:tcBorders>
              <w:top w:val="double" w:sz="6" w:space="0" w:color="auto"/>
              <w:left w:val="single" w:sz="4" w:space="0" w:color="auto"/>
              <w:bottom w:val="double" w:sz="6" w:space="0" w:color="auto"/>
              <w:right w:val="single" w:sz="4" w:space="0" w:color="auto"/>
            </w:tcBorders>
            <w:shd w:val="clear" w:color="auto" w:fill="auto"/>
            <w:noWrap/>
            <w:vAlign w:val="center"/>
          </w:tcPr>
          <w:p w14:paraId="27A2AA74" w14:textId="77777777" w:rsidR="00DE63FB" w:rsidRPr="00112A2F" w:rsidRDefault="00DE63FB" w:rsidP="005C6D1E">
            <w:pPr>
              <w:spacing w:after="0" w:line="240" w:lineRule="auto"/>
              <w:jc w:val="center"/>
              <w:rPr>
                <w:rFonts w:ascii="Times New Roman" w:hAnsi="Times New Roman"/>
                <w:b/>
                <w:sz w:val="18"/>
                <w:szCs w:val="18"/>
              </w:rPr>
            </w:pPr>
            <w:r w:rsidRPr="00112A2F">
              <w:rPr>
                <w:rFonts w:ascii="Times New Roman" w:hAnsi="Times New Roman"/>
                <w:b/>
                <w:sz w:val="18"/>
                <w:szCs w:val="18"/>
              </w:rPr>
              <w:t xml:space="preserve">Ag </w:t>
            </w:r>
          </w:p>
          <w:p w14:paraId="2671FCDC" w14:textId="77777777" w:rsidR="00DE63FB" w:rsidRPr="00112A2F" w:rsidRDefault="00DE63FB" w:rsidP="005C6D1E">
            <w:pPr>
              <w:spacing w:after="0" w:line="240" w:lineRule="auto"/>
              <w:jc w:val="center"/>
              <w:rPr>
                <w:rFonts w:ascii="Times New Roman" w:hAnsi="Times New Roman"/>
                <w:b/>
                <w:sz w:val="18"/>
                <w:szCs w:val="18"/>
              </w:rPr>
            </w:pPr>
            <w:r w:rsidRPr="00112A2F">
              <w:rPr>
                <w:rFonts w:ascii="Times New Roman" w:hAnsi="Times New Roman"/>
                <w:b/>
                <w:sz w:val="18"/>
                <w:szCs w:val="18"/>
              </w:rPr>
              <w:t>K oz</w:t>
            </w:r>
          </w:p>
        </w:tc>
      </w:tr>
      <w:tr w:rsidR="00DE63FB" w:rsidRPr="00112A2F" w14:paraId="6C7FB9BD" w14:textId="77777777" w:rsidTr="00C7103B">
        <w:trPr>
          <w:trHeight w:val="203"/>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C1197" w14:textId="77777777" w:rsidR="00DE63FB" w:rsidRPr="00112A2F" w:rsidRDefault="00DE63FB" w:rsidP="005C6D1E">
            <w:pPr>
              <w:spacing w:after="0" w:line="240" w:lineRule="auto"/>
              <w:ind w:left="-28" w:right="-98"/>
              <w:jc w:val="center"/>
              <w:rPr>
                <w:rFonts w:ascii="Times New Roman" w:hAnsi="Times New Roman"/>
                <w:sz w:val="18"/>
                <w:szCs w:val="18"/>
              </w:rPr>
            </w:pPr>
            <w:r w:rsidRPr="00112A2F">
              <w:rPr>
                <w:rFonts w:ascii="Times New Roman" w:hAnsi="Times New Roman"/>
                <w:sz w:val="18"/>
                <w:szCs w:val="18"/>
              </w:rPr>
              <w:t>Measured</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14:paraId="0D3B969D" w14:textId="77777777" w:rsidR="00DE63FB" w:rsidRPr="00112A2F" w:rsidRDefault="00DE63FB" w:rsidP="005C6D1E">
            <w:pPr>
              <w:spacing w:after="0" w:line="240" w:lineRule="auto"/>
              <w:jc w:val="right"/>
              <w:rPr>
                <w:rFonts w:ascii="Times New Roman" w:hAnsi="Times New Roman"/>
                <w:sz w:val="18"/>
                <w:szCs w:val="18"/>
              </w:rPr>
            </w:pPr>
            <w:r w:rsidRPr="00112A2F">
              <w:rPr>
                <w:rFonts w:ascii="Times New Roman" w:hAnsi="Times New Roman"/>
                <w:sz w:val="18"/>
                <w:szCs w:val="18"/>
              </w:rPr>
              <w:t>187,148</w:t>
            </w:r>
          </w:p>
        </w:tc>
        <w:tc>
          <w:tcPr>
            <w:tcW w:w="686" w:type="dxa"/>
            <w:tcBorders>
              <w:top w:val="single" w:sz="4" w:space="0" w:color="auto"/>
              <w:left w:val="single" w:sz="4" w:space="0" w:color="auto"/>
              <w:bottom w:val="single" w:sz="4" w:space="0" w:color="auto"/>
              <w:right w:val="single" w:sz="4" w:space="0" w:color="auto"/>
            </w:tcBorders>
          </w:tcPr>
          <w:p w14:paraId="420DC6D3" w14:textId="77777777" w:rsidR="00DE63FB" w:rsidRPr="00112A2F" w:rsidRDefault="00DE63FB" w:rsidP="005C6D1E">
            <w:pPr>
              <w:spacing w:after="0" w:line="240" w:lineRule="auto"/>
              <w:jc w:val="center"/>
              <w:rPr>
                <w:rFonts w:ascii="Times New Roman" w:hAnsi="Times New Roman"/>
                <w:color w:val="000000"/>
                <w:sz w:val="18"/>
                <w:szCs w:val="18"/>
              </w:rPr>
            </w:pPr>
            <w:r w:rsidRPr="00112A2F">
              <w:rPr>
                <w:rFonts w:ascii="Times New Roman" w:hAnsi="Times New Roman"/>
                <w:color w:val="000000"/>
                <w:sz w:val="18"/>
                <w:szCs w:val="18"/>
              </w:rPr>
              <w:t>0.38</w:t>
            </w:r>
          </w:p>
        </w:tc>
        <w:tc>
          <w:tcPr>
            <w:tcW w:w="567" w:type="dxa"/>
            <w:tcBorders>
              <w:top w:val="single" w:sz="4" w:space="0" w:color="auto"/>
              <w:left w:val="single" w:sz="4" w:space="0" w:color="auto"/>
              <w:bottom w:val="single" w:sz="4" w:space="0" w:color="auto"/>
              <w:right w:val="single" w:sz="4" w:space="0" w:color="auto"/>
            </w:tcBorders>
          </w:tcPr>
          <w:p w14:paraId="25915290" w14:textId="77777777" w:rsidR="00DE63FB" w:rsidRPr="00112A2F" w:rsidRDefault="00DE63FB" w:rsidP="005C6D1E">
            <w:pPr>
              <w:spacing w:after="0" w:line="240" w:lineRule="auto"/>
              <w:jc w:val="center"/>
              <w:rPr>
                <w:rFonts w:ascii="Times New Roman" w:hAnsi="Times New Roman"/>
                <w:sz w:val="18"/>
                <w:szCs w:val="18"/>
              </w:rPr>
            </w:pPr>
            <w:r w:rsidRPr="00112A2F">
              <w:rPr>
                <w:rFonts w:ascii="Times New Roman" w:hAnsi="Times New Roman"/>
                <w:sz w:val="18"/>
                <w:szCs w:val="18"/>
              </w:rPr>
              <w:t>0.23</w:t>
            </w:r>
          </w:p>
        </w:tc>
        <w:tc>
          <w:tcPr>
            <w:tcW w:w="567" w:type="dxa"/>
            <w:tcBorders>
              <w:top w:val="single" w:sz="4" w:space="0" w:color="auto"/>
              <w:left w:val="single" w:sz="4" w:space="0" w:color="auto"/>
              <w:bottom w:val="single" w:sz="4" w:space="0" w:color="auto"/>
              <w:right w:val="single" w:sz="4" w:space="0" w:color="auto"/>
            </w:tcBorders>
          </w:tcPr>
          <w:p w14:paraId="531923D8" w14:textId="77777777" w:rsidR="00DE63FB" w:rsidRPr="00112A2F" w:rsidRDefault="00DE63FB" w:rsidP="005C6D1E">
            <w:pPr>
              <w:spacing w:after="0" w:line="240" w:lineRule="auto"/>
              <w:jc w:val="center"/>
              <w:rPr>
                <w:rFonts w:ascii="Times New Roman" w:hAnsi="Times New Roman"/>
                <w:sz w:val="18"/>
                <w:szCs w:val="18"/>
              </w:rPr>
            </w:pPr>
            <w:r w:rsidRPr="00112A2F">
              <w:rPr>
                <w:rFonts w:ascii="Times New Roman" w:hAnsi="Times New Roman"/>
                <w:sz w:val="18"/>
                <w:szCs w:val="18"/>
              </w:rPr>
              <w:t>0.15</w:t>
            </w:r>
          </w:p>
        </w:tc>
        <w:tc>
          <w:tcPr>
            <w:tcW w:w="667" w:type="dxa"/>
            <w:tcBorders>
              <w:top w:val="single" w:sz="4" w:space="0" w:color="auto"/>
              <w:left w:val="single" w:sz="4" w:space="0" w:color="auto"/>
              <w:bottom w:val="single" w:sz="4" w:space="0" w:color="auto"/>
              <w:right w:val="single" w:sz="4" w:space="0" w:color="auto"/>
            </w:tcBorders>
            <w:shd w:val="clear" w:color="auto" w:fill="auto"/>
            <w:noWrap/>
          </w:tcPr>
          <w:p w14:paraId="068104E4" w14:textId="77777777" w:rsidR="00DE63FB" w:rsidRPr="00112A2F" w:rsidRDefault="00DE63FB" w:rsidP="005C6D1E">
            <w:pPr>
              <w:spacing w:after="0" w:line="240" w:lineRule="auto"/>
              <w:jc w:val="center"/>
              <w:rPr>
                <w:rFonts w:ascii="Times New Roman" w:hAnsi="Times New Roman"/>
                <w:sz w:val="18"/>
                <w:szCs w:val="18"/>
              </w:rPr>
            </w:pPr>
            <w:r w:rsidRPr="00112A2F">
              <w:rPr>
                <w:rFonts w:ascii="Times New Roman" w:hAnsi="Times New Roman"/>
                <w:sz w:val="18"/>
                <w:szCs w:val="18"/>
              </w:rPr>
              <w:t>0.021</w:t>
            </w:r>
          </w:p>
        </w:tc>
        <w:tc>
          <w:tcPr>
            <w:tcW w:w="508" w:type="dxa"/>
            <w:tcBorders>
              <w:top w:val="single" w:sz="4" w:space="0" w:color="auto"/>
              <w:left w:val="single" w:sz="4" w:space="0" w:color="auto"/>
              <w:bottom w:val="single" w:sz="4" w:space="0" w:color="auto"/>
              <w:right w:val="single" w:sz="4" w:space="0" w:color="auto"/>
            </w:tcBorders>
            <w:shd w:val="clear" w:color="auto" w:fill="auto"/>
            <w:noWrap/>
          </w:tcPr>
          <w:p w14:paraId="1EA55621" w14:textId="77777777" w:rsidR="00DE63FB" w:rsidRPr="00112A2F" w:rsidRDefault="00DE63FB" w:rsidP="005C6D1E">
            <w:pPr>
              <w:spacing w:after="0" w:line="240" w:lineRule="auto"/>
              <w:jc w:val="center"/>
              <w:rPr>
                <w:rFonts w:ascii="Times New Roman" w:hAnsi="Times New Roman"/>
                <w:sz w:val="18"/>
                <w:szCs w:val="18"/>
              </w:rPr>
            </w:pPr>
            <w:r w:rsidRPr="00112A2F">
              <w:rPr>
                <w:rFonts w:ascii="Times New Roman" w:hAnsi="Times New Roman"/>
                <w:sz w:val="18"/>
                <w:szCs w:val="18"/>
              </w:rPr>
              <w:t>2.8</w:t>
            </w:r>
          </w:p>
        </w:tc>
        <w:tc>
          <w:tcPr>
            <w:tcW w:w="744" w:type="dxa"/>
            <w:tcBorders>
              <w:top w:val="single" w:sz="4" w:space="0" w:color="auto"/>
              <w:left w:val="single" w:sz="4" w:space="0" w:color="auto"/>
              <w:bottom w:val="single" w:sz="4" w:space="0" w:color="auto"/>
              <w:right w:val="single" w:sz="4" w:space="0" w:color="auto"/>
            </w:tcBorders>
          </w:tcPr>
          <w:p w14:paraId="47E5E569" w14:textId="77777777" w:rsidR="00DE63FB" w:rsidRPr="00112A2F" w:rsidRDefault="00DE63FB" w:rsidP="005C6D1E">
            <w:pPr>
              <w:spacing w:after="0" w:line="240" w:lineRule="auto"/>
              <w:jc w:val="right"/>
              <w:rPr>
                <w:rFonts w:ascii="Times New Roman" w:hAnsi="Times New Roman"/>
                <w:color w:val="000000"/>
                <w:sz w:val="18"/>
                <w:szCs w:val="18"/>
              </w:rPr>
            </w:pPr>
            <w:r w:rsidRPr="00112A2F">
              <w:rPr>
                <w:rFonts w:ascii="Times New Roman" w:hAnsi="Times New Roman"/>
                <w:color w:val="000000"/>
                <w:sz w:val="18"/>
                <w:szCs w:val="18"/>
              </w:rPr>
              <w:t>1,568</w:t>
            </w:r>
          </w:p>
        </w:tc>
        <w:tc>
          <w:tcPr>
            <w:tcW w:w="735" w:type="dxa"/>
            <w:tcBorders>
              <w:top w:val="single" w:sz="4" w:space="0" w:color="auto"/>
              <w:left w:val="single" w:sz="4" w:space="0" w:color="auto"/>
              <w:bottom w:val="single" w:sz="4" w:space="0" w:color="auto"/>
              <w:right w:val="single" w:sz="4" w:space="0" w:color="auto"/>
            </w:tcBorders>
          </w:tcPr>
          <w:p w14:paraId="599EDA8A" w14:textId="77777777" w:rsidR="00DE63FB" w:rsidRPr="00112A2F" w:rsidRDefault="00DE63FB" w:rsidP="005C6D1E">
            <w:pPr>
              <w:spacing w:after="0" w:line="240" w:lineRule="auto"/>
              <w:jc w:val="right"/>
              <w:rPr>
                <w:rFonts w:ascii="Times New Roman" w:hAnsi="Times New Roman"/>
                <w:sz w:val="18"/>
                <w:szCs w:val="18"/>
              </w:rPr>
            </w:pPr>
            <w:r w:rsidRPr="00112A2F">
              <w:rPr>
                <w:rFonts w:ascii="Times New Roman" w:hAnsi="Times New Roman"/>
                <w:sz w:val="18"/>
                <w:szCs w:val="18"/>
              </w:rPr>
              <w:t>934</w:t>
            </w:r>
          </w:p>
        </w:tc>
        <w:tc>
          <w:tcPr>
            <w:tcW w:w="735" w:type="dxa"/>
            <w:tcBorders>
              <w:top w:val="single" w:sz="4" w:space="0" w:color="auto"/>
              <w:left w:val="single" w:sz="4" w:space="0" w:color="auto"/>
              <w:bottom w:val="single" w:sz="4" w:space="0" w:color="auto"/>
              <w:right w:val="single" w:sz="4" w:space="0" w:color="auto"/>
            </w:tcBorders>
          </w:tcPr>
          <w:p w14:paraId="3E32C177" w14:textId="77777777" w:rsidR="00DE63FB" w:rsidRPr="00112A2F" w:rsidRDefault="00DE63FB" w:rsidP="005C6D1E">
            <w:pPr>
              <w:spacing w:after="0" w:line="240" w:lineRule="auto"/>
              <w:jc w:val="right"/>
              <w:rPr>
                <w:rFonts w:ascii="Times New Roman" w:hAnsi="Times New Roman"/>
                <w:sz w:val="18"/>
                <w:szCs w:val="18"/>
              </w:rPr>
            </w:pPr>
            <w:r w:rsidRPr="00112A2F">
              <w:rPr>
                <w:rFonts w:ascii="Times New Roman" w:hAnsi="Times New Roman"/>
                <w:sz w:val="18"/>
                <w:szCs w:val="18"/>
              </w:rPr>
              <w:t>916</w:t>
            </w:r>
          </w:p>
        </w:tc>
        <w:tc>
          <w:tcPr>
            <w:tcW w:w="744" w:type="dxa"/>
            <w:tcBorders>
              <w:top w:val="single" w:sz="4" w:space="0" w:color="auto"/>
              <w:left w:val="single" w:sz="4" w:space="0" w:color="auto"/>
              <w:bottom w:val="single" w:sz="4" w:space="0" w:color="auto"/>
              <w:right w:val="single" w:sz="4" w:space="0" w:color="auto"/>
            </w:tcBorders>
            <w:shd w:val="clear" w:color="auto" w:fill="auto"/>
            <w:noWrap/>
          </w:tcPr>
          <w:p w14:paraId="3C34CA32" w14:textId="77777777" w:rsidR="00DE63FB" w:rsidRPr="00112A2F" w:rsidRDefault="00DE63FB" w:rsidP="005C6D1E">
            <w:pPr>
              <w:spacing w:after="0" w:line="240" w:lineRule="auto"/>
              <w:ind w:left="-131"/>
              <w:jc w:val="right"/>
              <w:rPr>
                <w:rFonts w:ascii="Times New Roman" w:hAnsi="Times New Roman"/>
                <w:sz w:val="18"/>
                <w:szCs w:val="18"/>
              </w:rPr>
            </w:pPr>
            <w:r w:rsidRPr="00112A2F">
              <w:rPr>
                <w:rFonts w:ascii="Times New Roman" w:hAnsi="Times New Roman"/>
                <w:sz w:val="18"/>
                <w:szCs w:val="18"/>
              </w:rPr>
              <w:t>85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03DC372" w14:textId="77777777" w:rsidR="00DE63FB" w:rsidRPr="00112A2F" w:rsidRDefault="00DE63FB" w:rsidP="005C6D1E">
            <w:pPr>
              <w:spacing w:after="0" w:line="240" w:lineRule="auto"/>
              <w:jc w:val="right"/>
              <w:rPr>
                <w:rFonts w:ascii="Times New Roman" w:hAnsi="Times New Roman"/>
                <w:sz w:val="18"/>
                <w:szCs w:val="18"/>
              </w:rPr>
            </w:pPr>
            <w:r w:rsidRPr="00112A2F">
              <w:rPr>
                <w:rFonts w:ascii="Times New Roman" w:hAnsi="Times New Roman"/>
                <w:sz w:val="18"/>
                <w:szCs w:val="18"/>
              </w:rPr>
              <w:t>17,089</w:t>
            </w:r>
          </w:p>
        </w:tc>
      </w:tr>
      <w:tr w:rsidR="00DE63FB" w:rsidRPr="00112A2F" w14:paraId="608B77C4" w14:textId="77777777" w:rsidTr="00C7103B">
        <w:trPr>
          <w:trHeight w:val="150"/>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572E1" w14:textId="77777777" w:rsidR="00DE63FB" w:rsidRPr="00112A2F" w:rsidRDefault="00DE63FB" w:rsidP="005C6D1E">
            <w:pPr>
              <w:spacing w:after="0" w:line="240" w:lineRule="auto"/>
              <w:ind w:left="-28" w:right="-98"/>
              <w:jc w:val="center"/>
              <w:rPr>
                <w:rFonts w:ascii="Times New Roman" w:hAnsi="Times New Roman"/>
                <w:sz w:val="18"/>
                <w:szCs w:val="18"/>
              </w:rPr>
            </w:pPr>
            <w:r w:rsidRPr="00112A2F">
              <w:rPr>
                <w:rFonts w:ascii="Times New Roman" w:hAnsi="Times New Roman"/>
                <w:sz w:val="18"/>
                <w:szCs w:val="18"/>
              </w:rPr>
              <w:t>Indicated</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14:paraId="1B151F3F" w14:textId="77777777" w:rsidR="00DE63FB" w:rsidRPr="00112A2F" w:rsidRDefault="00DE63FB" w:rsidP="005C6D1E">
            <w:pPr>
              <w:spacing w:after="0" w:line="240" w:lineRule="auto"/>
              <w:jc w:val="right"/>
              <w:rPr>
                <w:rFonts w:ascii="Times New Roman" w:hAnsi="Times New Roman"/>
                <w:sz w:val="18"/>
                <w:szCs w:val="18"/>
              </w:rPr>
            </w:pPr>
            <w:r w:rsidRPr="00112A2F">
              <w:rPr>
                <w:rFonts w:ascii="Times New Roman" w:hAnsi="Times New Roman"/>
                <w:sz w:val="18"/>
                <w:szCs w:val="18"/>
              </w:rPr>
              <w:t>37,041</w:t>
            </w:r>
          </w:p>
        </w:tc>
        <w:tc>
          <w:tcPr>
            <w:tcW w:w="686" w:type="dxa"/>
            <w:tcBorders>
              <w:top w:val="single" w:sz="4" w:space="0" w:color="auto"/>
              <w:left w:val="single" w:sz="4" w:space="0" w:color="auto"/>
              <w:bottom w:val="single" w:sz="4" w:space="0" w:color="auto"/>
              <w:right w:val="single" w:sz="4" w:space="0" w:color="auto"/>
            </w:tcBorders>
          </w:tcPr>
          <w:p w14:paraId="145C70F5" w14:textId="77777777" w:rsidR="00DE63FB" w:rsidRPr="00112A2F" w:rsidRDefault="00DE63FB" w:rsidP="005C6D1E">
            <w:pPr>
              <w:spacing w:after="0" w:line="240" w:lineRule="auto"/>
              <w:jc w:val="center"/>
              <w:rPr>
                <w:rFonts w:ascii="Times New Roman" w:hAnsi="Times New Roman"/>
                <w:color w:val="000000"/>
                <w:sz w:val="18"/>
                <w:szCs w:val="18"/>
              </w:rPr>
            </w:pPr>
            <w:r w:rsidRPr="00112A2F">
              <w:rPr>
                <w:rFonts w:ascii="Times New Roman" w:hAnsi="Times New Roman"/>
                <w:color w:val="000000"/>
                <w:sz w:val="18"/>
                <w:szCs w:val="18"/>
              </w:rPr>
              <w:t>0.35</w:t>
            </w:r>
          </w:p>
        </w:tc>
        <w:tc>
          <w:tcPr>
            <w:tcW w:w="567" w:type="dxa"/>
            <w:tcBorders>
              <w:top w:val="single" w:sz="4" w:space="0" w:color="auto"/>
              <w:left w:val="single" w:sz="4" w:space="0" w:color="auto"/>
              <w:bottom w:val="single" w:sz="4" w:space="0" w:color="auto"/>
              <w:right w:val="single" w:sz="4" w:space="0" w:color="auto"/>
            </w:tcBorders>
          </w:tcPr>
          <w:p w14:paraId="39661BE7" w14:textId="77777777" w:rsidR="00DE63FB" w:rsidRPr="00112A2F" w:rsidRDefault="00DE63FB" w:rsidP="005C6D1E">
            <w:pPr>
              <w:spacing w:after="0" w:line="240" w:lineRule="auto"/>
              <w:jc w:val="center"/>
              <w:rPr>
                <w:rFonts w:ascii="Times New Roman" w:hAnsi="Times New Roman"/>
                <w:sz w:val="18"/>
                <w:szCs w:val="18"/>
              </w:rPr>
            </w:pPr>
            <w:r w:rsidRPr="00112A2F">
              <w:rPr>
                <w:rFonts w:ascii="Times New Roman" w:hAnsi="Times New Roman"/>
                <w:sz w:val="18"/>
                <w:szCs w:val="18"/>
              </w:rPr>
              <w:t>0.21</w:t>
            </w:r>
          </w:p>
        </w:tc>
        <w:tc>
          <w:tcPr>
            <w:tcW w:w="567" w:type="dxa"/>
            <w:tcBorders>
              <w:top w:val="single" w:sz="4" w:space="0" w:color="auto"/>
              <w:left w:val="single" w:sz="4" w:space="0" w:color="auto"/>
              <w:bottom w:val="single" w:sz="4" w:space="0" w:color="auto"/>
              <w:right w:val="single" w:sz="4" w:space="0" w:color="auto"/>
            </w:tcBorders>
          </w:tcPr>
          <w:p w14:paraId="1D494FE7" w14:textId="77777777" w:rsidR="00DE63FB" w:rsidRPr="00112A2F" w:rsidRDefault="00DE63FB" w:rsidP="005C6D1E">
            <w:pPr>
              <w:spacing w:after="0" w:line="240" w:lineRule="auto"/>
              <w:jc w:val="center"/>
              <w:rPr>
                <w:rFonts w:ascii="Times New Roman" w:hAnsi="Times New Roman"/>
                <w:sz w:val="18"/>
                <w:szCs w:val="18"/>
              </w:rPr>
            </w:pPr>
            <w:r w:rsidRPr="00112A2F">
              <w:rPr>
                <w:rFonts w:ascii="Times New Roman" w:hAnsi="Times New Roman"/>
                <w:sz w:val="18"/>
                <w:szCs w:val="18"/>
              </w:rPr>
              <w:t>0.12</w:t>
            </w:r>
          </w:p>
        </w:tc>
        <w:tc>
          <w:tcPr>
            <w:tcW w:w="667" w:type="dxa"/>
            <w:tcBorders>
              <w:top w:val="single" w:sz="4" w:space="0" w:color="auto"/>
              <w:left w:val="single" w:sz="4" w:space="0" w:color="auto"/>
              <w:bottom w:val="single" w:sz="4" w:space="0" w:color="auto"/>
              <w:right w:val="single" w:sz="4" w:space="0" w:color="auto"/>
            </w:tcBorders>
            <w:shd w:val="clear" w:color="auto" w:fill="auto"/>
            <w:noWrap/>
          </w:tcPr>
          <w:p w14:paraId="208B025F" w14:textId="77777777" w:rsidR="00DE63FB" w:rsidRPr="00112A2F" w:rsidRDefault="00DE63FB" w:rsidP="005C6D1E">
            <w:pPr>
              <w:spacing w:after="0" w:line="240" w:lineRule="auto"/>
              <w:jc w:val="center"/>
              <w:rPr>
                <w:rFonts w:ascii="Times New Roman" w:hAnsi="Times New Roman"/>
                <w:sz w:val="18"/>
                <w:szCs w:val="18"/>
              </w:rPr>
            </w:pPr>
            <w:r w:rsidRPr="00112A2F">
              <w:rPr>
                <w:rFonts w:ascii="Times New Roman" w:hAnsi="Times New Roman"/>
                <w:sz w:val="18"/>
                <w:szCs w:val="18"/>
              </w:rPr>
              <w:t>0.023</w:t>
            </w:r>
          </w:p>
        </w:tc>
        <w:tc>
          <w:tcPr>
            <w:tcW w:w="508" w:type="dxa"/>
            <w:tcBorders>
              <w:top w:val="single" w:sz="4" w:space="0" w:color="auto"/>
              <w:left w:val="single" w:sz="4" w:space="0" w:color="auto"/>
              <w:bottom w:val="single" w:sz="4" w:space="0" w:color="auto"/>
              <w:right w:val="single" w:sz="4" w:space="0" w:color="auto"/>
            </w:tcBorders>
            <w:shd w:val="clear" w:color="auto" w:fill="auto"/>
            <w:noWrap/>
          </w:tcPr>
          <w:p w14:paraId="0FE6CBDC" w14:textId="77777777" w:rsidR="00DE63FB" w:rsidRPr="00112A2F" w:rsidRDefault="00DE63FB" w:rsidP="005C6D1E">
            <w:pPr>
              <w:spacing w:after="0" w:line="240" w:lineRule="auto"/>
              <w:jc w:val="center"/>
              <w:rPr>
                <w:rFonts w:ascii="Times New Roman" w:hAnsi="Times New Roman"/>
                <w:sz w:val="18"/>
                <w:szCs w:val="18"/>
              </w:rPr>
            </w:pPr>
            <w:r w:rsidRPr="00112A2F">
              <w:rPr>
                <w:rFonts w:ascii="Times New Roman" w:hAnsi="Times New Roman"/>
                <w:sz w:val="18"/>
                <w:szCs w:val="18"/>
              </w:rPr>
              <w:t>2.8</w:t>
            </w:r>
          </w:p>
        </w:tc>
        <w:tc>
          <w:tcPr>
            <w:tcW w:w="744" w:type="dxa"/>
            <w:tcBorders>
              <w:top w:val="single" w:sz="4" w:space="0" w:color="auto"/>
              <w:left w:val="single" w:sz="4" w:space="0" w:color="auto"/>
              <w:bottom w:val="single" w:sz="4" w:space="0" w:color="auto"/>
              <w:right w:val="single" w:sz="4" w:space="0" w:color="auto"/>
            </w:tcBorders>
          </w:tcPr>
          <w:p w14:paraId="24276621" w14:textId="77777777" w:rsidR="00DE63FB" w:rsidRPr="00112A2F" w:rsidRDefault="00DE63FB" w:rsidP="005C6D1E">
            <w:pPr>
              <w:spacing w:after="0" w:line="240" w:lineRule="auto"/>
              <w:jc w:val="right"/>
              <w:rPr>
                <w:rFonts w:ascii="Times New Roman" w:hAnsi="Times New Roman"/>
                <w:color w:val="000000"/>
                <w:sz w:val="18"/>
                <w:szCs w:val="18"/>
              </w:rPr>
            </w:pPr>
            <w:r w:rsidRPr="00112A2F">
              <w:rPr>
                <w:rFonts w:ascii="Times New Roman" w:hAnsi="Times New Roman"/>
                <w:color w:val="000000"/>
                <w:sz w:val="18"/>
                <w:szCs w:val="18"/>
              </w:rPr>
              <w:t>286</w:t>
            </w:r>
          </w:p>
        </w:tc>
        <w:tc>
          <w:tcPr>
            <w:tcW w:w="735" w:type="dxa"/>
            <w:tcBorders>
              <w:top w:val="single" w:sz="4" w:space="0" w:color="auto"/>
              <w:left w:val="single" w:sz="4" w:space="0" w:color="auto"/>
              <w:bottom w:val="single" w:sz="4" w:space="0" w:color="auto"/>
              <w:right w:val="single" w:sz="4" w:space="0" w:color="auto"/>
            </w:tcBorders>
          </w:tcPr>
          <w:p w14:paraId="1685C41A" w14:textId="77777777" w:rsidR="00DE63FB" w:rsidRPr="00112A2F" w:rsidRDefault="00DE63FB" w:rsidP="005C6D1E">
            <w:pPr>
              <w:spacing w:after="0" w:line="240" w:lineRule="auto"/>
              <w:jc w:val="right"/>
              <w:rPr>
                <w:rFonts w:ascii="Times New Roman" w:hAnsi="Times New Roman"/>
                <w:sz w:val="18"/>
                <w:szCs w:val="18"/>
              </w:rPr>
            </w:pPr>
            <w:r w:rsidRPr="00112A2F">
              <w:rPr>
                <w:rFonts w:ascii="Times New Roman" w:hAnsi="Times New Roman"/>
                <w:sz w:val="18"/>
                <w:szCs w:val="18"/>
              </w:rPr>
              <w:t>175</w:t>
            </w:r>
          </w:p>
        </w:tc>
        <w:tc>
          <w:tcPr>
            <w:tcW w:w="735" w:type="dxa"/>
            <w:tcBorders>
              <w:top w:val="single" w:sz="4" w:space="0" w:color="auto"/>
              <w:left w:val="single" w:sz="4" w:space="0" w:color="auto"/>
              <w:bottom w:val="single" w:sz="4" w:space="0" w:color="auto"/>
              <w:right w:val="single" w:sz="4" w:space="0" w:color="auto"/>
            </w:tcBorders>
          </w:tcPr>
          <w:p w14:paraId="24C0D132" w14:textId="77777777" w:rsidR="00DE63FB" w:rsidRPr="00112A2F" w:rsidRDefault="00DE63FB" w:rsidP="005C6D1E">
            <w:pPr>
              <w:spacing w:after="0" w:line="240" w:lineRule="auto"/>
              <w:jc w:val="right"/>
              <w:rPr>
                <w:rFonts w:ascii="Times New Roman" w:hAnsi="Times New Roman"/>
                <w:sz w:val="18"/>
                <w:szCs w:val="18"/>
              </w:rPr>
            </w:pPr>
            <w:r w:rsidRPr="00112A2F">
              <w:rPr>
                <w:rFonts w:ascii="Times New Roman" w:hAnsi="Times New Roman"/>
                <w:sz w:val="18"/>
                <w:szCs w:val="18"/>
              </w:rPr>
              <w:t>146</w:t>
            </w:r>
          </w:p>
        </w:tc>
        <w:tc>
          <w:tcPr>
            <w:tcW w:w="744" w:type="dxa"/>
            <w:tcBorders>
              <w:top w:val="single" w:sz="4" w:space="0" w:color="auto"/>
              <w:left w:val="single" w:sz="4" w:space="0" w:color="auto"/>
              <w:bottom w:val="single" w:sz="4" w:space="0" w:color="auto"/>
              <w:right w:val="single" w:sz="4" w:space="0" w:color="auto"/>
            </w:tcBorders>
            <w:shd w:val="clear" w:color="auto" w:fill="auto"/>
            <w:noWrap/>
          </w:tcPr>
          <w:p w14:paraId="1426240A" w14:textId="77777777" w:rsidR="00DE63FB" w:rsidRPr="00112A2F" w:rsidRDefault="00DE63FB" w:rsidP="005C6D1E">
            <w:pPr>
              <w:spacing w:after="0" w:line="240" w:lineRule="auto"/>
              <w:ind w:left="-131"/>
              <w:jc w:val="right"/>
              <w:rPr>
                <w:rFonts w:ascii="Times New Roman" w:hAnsi="Times New Roman"/>
                <w:sz w:val="18"/>
                <w:szCs w:val="18"/>
              </w:rPr>
            </w:pPr>
            <w:r w:rsidRPr="00112A2F">
              <w:rPr>
                <w:rFonts w:ascii="Times New Roman" w:hAnsi="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64141F1" w14:textId="77777777" w:rsidR="00DE63FB" w:rsidRPr="00112A2F" w:rsidRDefault="00DE63FB" w:rsidP="005C6D1E">
            <w:pPr>
              <w:spacing w:after="0" w:line="240" w:lineRule="auto"/>
              <w:jc w:val="right"/>
              <w:rPr>
                <w:rFonts w:ascii="Times New Roman" w:hAnsi="Times New Roman"/>
                <w:sz w:val="18"/>
                <w:szCs w:val="18"/>
              </w:rPr>
            </w:pPr>
            <w:r w:rsidRPr="00112A2F">
              <w:rPr>
                <w:rFonts w:ascii="Times New Roman" w:hAnsi="Times New Roman"/>
                <w:sz w:val="18"/>
                <w:szCs w:val="18"/>
              </w:rPr>
              <w:t>3,368</w:t>
            </w:r>
          </w:p>
        </w:tc>
      </w:tr>
      <w:tr w:rsidR="00DE63FB" w:rsidRPr="00112A2F" w14:paraId="4E8692DA" w14:textId="77777777" w:rsidTr="00C7103B">
        <w:trPr>
          <w:trHeight w:val="150"/>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E8367" w14:textId="77777777" w:rsidR="00DE63FB" w:rsidRPr="00112A2F" w:rsidRDefault="00DE63FB" w:rsidP="005C6D1E">
            <w:pPr>
              <w:spacing w:after="0" w:line="240" w:lineRule="auto"/>
              <w:ind w:left="-28" w:right="-98"/>
              <w:jc w:val="center"/>
              <w:rPr>
                <w:rFonts w:ascii="Times New Roman" w:hAnsi="Times New Roman"/>
                <w:b/>
                <w:sz w:val="18"/>
                <w:szCs w:val="18"/>
              </w:rPr>
            </w:pPr>
            <w:r w:rsidRPr="00112A2F">
              <w:rPr>
                <w:rFonts w:ascii="Times New Roman" w:hAnsi="Times New Roman"/>
                <w:b/>
                <w:sz w:val="18"/>
                <w:szCs w:val="18"/>
              </w:rPr>
              <w:t>M&amp;I</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14:paraId="4D83E128" w14:textId="77777777" w:rsidR="00DE63FB" w:rsidRPr="00112A2F" w:rsidRDefault="00DE63FB" w:rsidP="005C6D1E">
            <w:pPr>
              <w:spacing w:after="0" w:line="240" w:lineRule="auto"/>
              <w:jc w:val="right"/>
              <w:rPr>
                <w:rFonts w:ascii="Times New Roman" w:hAnsi="Times New Roman"/>
                <w:b/>
                <w:sz w:val="18"/>
                <w:szCs w:val="18"/>
              </w:rPr>
            </w:pPr>
            <w:r w:rsidRPr="00112A2F">
              <w:rPr>
                <w:rFonts w:ascii="Times New Roman" w:hAnsi="Times New Roman"/>
                <w:b/>
                <w:sz w:val="18"/>
                <w:szCs w:val="18"/>
              </w:rPr>
              <w:t>224,189</w:t>
            </w:r>
          </w:p>
        </w:tc>
        <w:tc>
          <w:tcPr>
            <w:tcW w:w="686" w:type="dxa"/>
            <w:tcBorders>
              <w:top w:val="single" w:sz="4" w:space="0" w:color="auto"/>
              <w:left w:val="single" w:sz="4" w:space="0" w:color="auto"/>
              <w:bottom w:val="single" w:sz="4" w:space="0" w:color="auto"/>
              <w:right w:val="single" w:sz="4" w:space="0" w:color="auto"/>
            </w:tcBorders>
          </w:tcPr>
          <w:p w14:paraId="57619418" w14:textId="77777777" w:rsidR="00DE63FB" w:rsidRPr="00112A2F" w:rsidRDefault="00DE63FB" w:rsidP="005C6D1E">
            <w:pPr>
              <w:spacing w:after="0" w:line="240" w:lineRule="auto"/>
              <w:jc w:val="center"/>
              <w:rPr>
                <w:rFonts w:ascii="Times New Roman" w:hAnsi="Times New Roman"/>
                <w:b/>
                <w:color w:val="000000"/>
                <w:sz w:val="18"/>
                <w:szCs w:val="18"/>
              </w:rPr>
            </w:pPr>
            <w:r w:rsidRPr="00112A2F">
              <w:rPr>
                <w:rFonts w:ascii="Times New Roman" w:hAnsi="Times New Roman"/>
                <w:b/>
                <w:color w:val="000000"/>
                <w:sz w:val="18"/>
                <w:szCs w:val="18"/>
              </w:rPr>
              <w:t>0.37</w:t>
            </w:r>
          </w:p>
        </w:tc>
        <w:tc>
          <w:tcPr>
            <w:tcW w:w="567" w:type="dxa"/>
            <w:tcBorders>
              <w:top w:val="single" w:sz="4" w:space="0" w:color="auto"/>
              <w:left w:val="single" w:sz="4" w:space="0" w:color="auto"/>
              <w:bottom w:val="single" w:sz="4" w:space="0" w:color="auto"/>
              <w:right w:val="single" w:sz="4" w:space="0" w:color="auto"/>
            </w:tcBorders>
          </w:tcPr>
          <w:p w14:paraId="557B5162" w14:textId="77777777" w:rsidR="00DE63FB" w:rsidRPr="00112A2F" w:rsidRDefault="00DE63FB" w:rsidP="005C6D1E">
            <w:pPr>
              <w:spacing w:after="0" w:line="240" w:lineRule="auto"/>
              <w:jc w:val="center"/>
              <w:rPr>
                <w:rFonts w:ascii="Times New Roman" w:hAnsi="Times New Roman"/>
                <w:b/>
                <w:sz w:val="18"/>
                <w:szCs w:val="18"/>
              </w:rPr>
            </w:pPr>
            <w:r w:rsidRPr="00112A2F">
              <w:rPr>
                <w:rFonts w:ascii="Times New Roman" w:hAnsi="Times New Roman"/>
                <w:b/>
                <w:sz w:val="18"/>
                <w:szCs w:val="18"/>
              </w:rPr>
              <w:t>0.22</w:t>
            </w:r>
          </w:p>
        </w:tc>
        <w:tc>
          <w:tcPr>
            <w:tcW w:w="567" w:type="dxa"/>
            <w:tcBorders>
              <w:top w:val="single" w:sz="4" w:space="0" w:color="auto"/>
              <w:left w:val="single" w:sz="4" w:space="0" w:color="auto"/>
              <w:bottom w:val="single" w:sz="4" w:space="0" w:color="auto"/>
              <w:right w:val="single" w:sz="4" w:space="0" w:color="auto"/>
            </w:tcBorders>
          </w:tcPr>
          <w:p w14:paraId="76EDEF52" w14:textId="77777777" w:rsidR="00DE63FB" w:rsidRPr="00112A2F" w:rsidRDefault="00DE63FB" w:rsidP="005C6D1E">
            <w:pPr>
              <w:spacing w:after="0" w:line="240" w:lineRule="auto"/>
              <w:jc w:val="center"/>
              <w:rPr>
                <w:rFonts w:ascii="Times New Roman" w:hAnsi="Times New Roman"/>
                <w:b/>
                <w:sz w:val="18"/>
                <w:szCs w:val="18"/>
              </w:rPr>
            </w:pPr>
            <w:r w:rsidRPr="00112A2F">
              <w:rPr>
                <w:rFonts w:ascii="Times New Roman" w:hAnsi="Times New Roman"/>
                <w:b/>
                <w:sz w:val="18"/>
                <w:szCs w:val="18"/>
              </w:rPr>
              <w:t>0.15</w:t>
            </w:r>
          </w:p>
        </w:tc>
        <w:tc>
          <w:tcPr>
            <w:tcW w:w="667" w:type="dxa"/>
            <w:tcBorders>
              <w:top w:val="single" w:sz="4" w:space="0" w:color="auto"/>
              <w:left w:val="single" w:sz="4" w:space="0" w:color="auto"/>
              <w:bottom w:val="single" w:sz="4" w:space="0" w:color="auto"/>
              <w:right w:val="single" w:sz="4" w:space="0" w:color="auto"/>
            </w:tcBorders>
            <w:shd w:val="clear" w:color="auto" w:fill="auto"/>
            <w:noWrap/>
          </w:tcPr>
          <w:p w14:paraId="21030B03" w14:textId="77777777" w:rsidR="00DE63FB" w:rsidRPr="00112A2F" w:rsidRDefault="00DE63FB" w:rsidP="005C6D1E">
            <w:pPr>
              <w:spacing w:after="0" w:line="240" w:lineRule="auto"/>
              <w:jc w:val="center"/>
              <w:rPr>
                <w:rFonts w:ascii="Times New Roman" w:hAnsi="Times New Roman"/>
                <w:b/>
                <w:sz w:val="18"/>
                <w:szCs w:val="18"/>
              </w:rPr>
            </w:pPr>
            <w:r w:rsidRPr="00112A2F">
              <w:rPr>
                <w:rFonts w:ascii="Times New Roman" w:hAnsi="Times New Roman"/>
                <w:b/>
                <w:sz w:val="18"/>
                <w:szCs w:val="18"/>
              </w:rPr>
              <w:t>0.021</w:t>
            </w:r>
          </w:p>
        </w:tc>
        <w:tc>
          <w:tcPr>
            <w:tcW w:w="508" w:type="dxa"/>
            <w:tcBorders>
              <w:top w:val="single" w:sz="4" w:space="0" w:color="auto"/>
              <w:left w:val="single" w:sz="4" w:space="0" w:color="auto"/>
              <w:bottom w:val="single" w:sz="4" w:space="0" w:color="auto"/>
              <w:right w:val="single" w:sz="4" w:space="0" w:color="auto"/>
            </w:tcBorders>
            <w:shd w:val="clear" w:color="auto" w:fill="auto"/>
            <w:noWrap/>
          </w:tcPr>
          <w:p w14:paraId="0CCA2D10" w14:textId="77777777" w:rsidR="00DE63FB" w:rsidRPr="00112A2F" w:rsidRDefault="00DE63FB" w:rsidP="005C6D1E">
            <w:pPr>
              <w:spacing w:after="0" w:line="240" w:lineRule="auto"/>
              <w:jc w:val="center"/>
              <w:rPr>
                <w:rFonts w:ascii="Times New Roman" w:hAnsi="Times New Roman"/>
                <w:b/>
                <w:sz w:val="18"/>
                <w:szCs w:val="18"/>
              </w:rPr>
            </w:pPr>
            <w:r w:rsidRPr="00112A2F">
              <w:rPr>
                <w:rFonts w:ascii="Times New Roman" w:hAnsi="Times New Roman"/>
                <w:b/>
                <w:sz w:val="18"/>
                <w:szCs w:val="18"/>
              </w:rPr>
              <w:t>2.8</w:t>
            </w:r>
          </w:p>
        </w:tc>
        <w:tc>
          <w:tcPr>
            <w:tcW w:w="744" w:type="dxa"/>
            <w:tcBorders>
              <w:top w:val="single" w:sz="4" w:space="0" w:color="auto"/>
              <w:left w:val="single" w:sz="4" w:space="0" w:color="auto"/>
              <w:bottom w:val="single" w:sz="4" w:space="0" w:color="auto"/>
              <w:right w:val="single" w:sz="4" w:space="0" w:color="auto"/>
            </w:tcBorders>
          </w:tcPr>
          <w:p w14:paraId="432F706A" w14:textId="77777777" w:rsidR="00DE63FB" w:rsidRPr="00112A2F" w:rsidRDefault="00DE63FB" w:rsidP="005C6D1E">
            <w:pPr>
              <w:spacing w:after="0" w:line="240" w:lineRule="auto"/>
              <w:jc w:val="right"/>
              <w:rPr>
                <w:rFonts w:ascii="Times New Roman" w:hAnsi="Times New Roman"/>
                <w:b/>
                <w:color w:val="000000"/>
                <w:sz w:val="18"/>
                <w:szCs w:val="18"/>
              </w:rPr>
            </w:pPr>
            <w:r w:rsidRPr="00112A2F">
              <w:rPr>
                <w:rFonts w:ascii="Times New Roman" w:hAnsi="Times New Roman"/>
                <w:b/>
                <w:color w:val="000000"/>
                <w:sz w:val="18"/>
                <w:szCs w:val="18"/>
              </w:rPr>
              <w:t>1,854</w:t>
            </w:r>
          </w:p>
        </w:tc>
        <w:tc>
          <w:tcPr>
            <w:tcW w:w="735" w:type="dxa"/>
            <w:tcBorders>
              <w:top w:val="single" w:sz="4" w:space="0" w:color="auto"/>
              <w:left w:val="single" w:sz="4" w:space="0" w:color="auto"/>
              <w:bottom w:val="single" w:sz="4" w:space="0" w:color="auto"/>
              <w:right w:val="single" w:sz="4" w:space="0" w:color="auto"/>
            </w:tcBorders>
          </w:tcPr>
          <w:p w14:paraId="0DF875CB" w14:textId="77777777" w:rsidR="00DE63FB" w:rsidRPr="00112A2F" w:rsidRDefault="00DE63FB" w:rsidP="005C6D1E">
            <w:pPr>
              <w:spacing w:after="0" w:line="240" w:lineRule="auto"/>
              <w:jc w:val="right"/>
              <w:rPr>
                <w:rFonts w:ascii="Times New Roman" w:hAnsi="Times New Roman"/>
                <w:b/>
                <w:sz w:val="18"/>
                <w:szCs w:val="18"/>
              </w:rPr>
            </w:pPr>
            <w:r w:rsidRPr="00112A2F">
              <w:rPr>
                <w:rFonts w:ascii="Times New Roman" w:hAnsi="Times New Roman"/>
                <w:b/>
                <w:sz w:val="18"/>
                <w:szCs w:val="18"/>
              </w:rPr>
              <w:t>1,109</w:t>
            </w:r>
          </w:p>
        </w:tc>
        <w:tc>
          <w:tcPr>
            <w:tcW w:w="735" w:type="dxa"/>
            <w:tcBorders>
              <w:top w:val="single" w:sz="4" w:space="0" w:color="auto"/>
              <w:left w:val="single" w:sz="4" w:space="0" w:color="auto"/>
              <w:bottom w:val="single" w:sz="4" w:space="0" w:color="auto"/>
              <w:right w:val="single" w:sz="4" w:space="0" w:color="auto"/>
            </w:tcBorders>
          </w:tcPr>
          <w:p w14:paraId="0FCB93B6" w14:textId="77777777" w:rsidR="00DE63FB" w:rsidRPr="00112A2F" w:rsidRDefault="00DE63FB" w:rsidP="005C6D1E">
            <w:pPr>
              <w:spacing w:after="0" w:line="240" w:lineRule="auto"/>
              <w:jc w:val="right"/>
              <w:rPr>
                <w:rFonts w:ascii="Times New Roman" w:hAnsi="Times New Roman"/>
                <w:b/>
                <w:sz w:val="18"/>
                <w:szCs w:val="18"/>
              </w:rPr>
            </w:pPr>
            <w:r w:rsidRPr="00112A2F">
              <w:rPr>
                <w:rFonts w:ascii="Times New Roman" w:hAnsi="Times New Roman"/>
                <w:b/>
                <w:sz w:val="18"/>
                <w:szCs w:val="18"/>
              </w:rPr>
              <w:t>1,062</w:t>
            </w:r>
          </w:p>
        </w:tc>
        <w:tc>
          <w:tcPr>
            <w:tcW w:w="744" w:type="dxa"/>
            <w:tcBorders>
              <w:top w:val="single" w:sz="4" w:space="0" w:color="auto"/>
              <w:left w:val="single" w:sz="4" w:space="0" w:color="auto"/>
              <w:bottom w:val="single" w:sz="4" w:space="0" w:color="auto"/>
              <w:right w:val="single" w:sz="4" w:space="0" w:color="auto"/>
            </w:tcBorders>
            <w:shd w:val="clear" w:color="auto" w:fill="auto"/>
            <w:noWrap/>
          </w:tcPr>
          <w:p w14:paraId="0FEE71FB" w14:textId="77777777" w:rsidR="00DE63FB" w:rsidRPr="00112A2F" w:rsidRDefault="00DE63FB" w:rsidP="005C6D1E">
            <w:pPr>
              <w:spacing w:after="0" w:line="240" w:lineRule="auto"/>
              <w:ind w:left="-131"/>
              <w:jc w:val="right"/>
              <w:rPr>
                <w:rFonts w:ascii="Times New Roman" w:hAnsi="Times New Roman"/>
                <w:b/>
                <w:sz w:val="18"/>
                <w:szCs w:val="18"/>
              </w:rPr>
            </w:pPr>
            <w:r w:rsidRPr="00112A2F">
              <w:rPr>
                <w:rFonts w:ascii="Times New Roman" w:hAnsi="Times New Roman"/>
                <w:b/>
                <w:sz w:val="18"/>
                <w:szCs w:val="18"/>
              </w:rPr>
              <w:t>104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9975AE3" w14:textId="77777777" w:rsidR="00DE63FB" w:rsidRPr="00112A2F" w:rsidRDefault="00DE63FB" w:rsidP="005C6D1E">
            <w:pPr>
              <w:spacing w:after="0" w:line="240" w:lineRule="auto"/>
              <w:jc w:val="right"/>
              <w:rPr>
                <w:rFonts w:ascii="Times New Roman" w:hAnsi="Times New Roman"/>
                <w:b/>
                <w:sz w:val="18"/>
                <w:szCs w:val="18"/>
              </w:rPr>
            </w:pPr>
            <w:r w:rsidRPr="00112A2F">
              <w:rPr>
                <w:rFonts w:ascii="Times New Roman" w:hAnsi="Times New Roman"/>
                <w:b/>
                <w:sz w:val="18"/>
                <w:szCs w:val="18"/>
              </w:rPr>
              <w:t>20,457</w:t>
            </w:r>
          </w:p>
        </w:tc>
      </w:tr>
    </w:tbl>
    <w:p w14:paraId="1BBC8D9D" w14:textId="77777777" w:rsidR="00DE63FB" w:rsidRPr="00112A2F" w:rsidRDefault="00DE63FB" w:rsidP="005C6D1E">
      <w:pPr>
        <w:spacing w:after="0" w:line="240" w:lineRule="auto"/>
        <w:jc w:val="both"/>
        <w:rPr>
          <w:rFonts w:ascii="Times New Roman" w:hAnsi="Times New Roman"/>
        </w:rPr>
      </w:pPr>
    </w:p>
    <w:p w14:paraId="2B918066" w14:textId="77777777" w:rsidR="00DE63FB" w:rsidRDefault="00DE63FB" w:rsidP="005C6D1E">
      <w:pPr>
        <w:snapToGrid w:val="0"/>
        <w:spacing w:after="0" w:line="240" w:lineRule="auto"/>
        <w:jc w:val="both"/>
        <w:outlineLvl w:val="0"/>
        <w:rPr>
          <w:rFonts w:ascii="Times New Roman" w:hAnsi="Times New Roman"/>
          <w:color w:val="000000"/>
          <w:sz w:val="24"/>
          <w:szCs w:val="24"/>
        </w:rPr>
      </w:pPr>
      <w:r w:rsidRPr="00034F80">
        <w:rPr>
          <w:rFonts w:ascii="Times New Roman" w:hAnsi="Times New Roman"/>
          <w:color w:val="000000"/>
          <w:sz w:val="24"/>
          <w:szCs w:val="24"/>
        </w:rPr>
        <w:t xml:space="preserve">On February 9, 2016, the Company announced a positive Preliminary Economic Assessment (PEA) for the Ootsa Property with potential for </w:t>
      </w:r>
      <w:r w:rsidRPr="00034F80">
        <w:rPr>
          <w:rStyle w:val="Strong"/>
          <w:rFonts w:ascii="Times New Roman" w:hAnsi="Times New Roman"/>
          <w:color w:val="000000"/>
          <w:sz w:val="24"/>
          <w:szCs w:val="24"/>
        </w:rPr>
        <w:t>low capital cost, low risk</w:t>
      </w:r>
      <w:r w:rsidRPr="00034F80">
        <w:rPr>
          <w:rFonts w:ascii="Times New Roman" w:hAnsi="Times New Roman"/>
          <w:b/>
          <w:color w:val="000000"/>
          <w:sz w:val="24"/>
          <w:szCs w:val="24"/>
        </w:rPr>
        <w:t xml:space="preserve"> </w:t>
      </w:r>
      <w:r w:rsidRPr="00034F80">
        <w:rPr>
          <w:rFonts w:ascii="Times New Roman" w:hAnsi="Times New Roman"/>
          <w:color w:val="000000"/>
          <w:sz w:val="24"/>
          <w:szCs w:val="24"/>
        </w:rPr>
        <w:t xml:space="preserve">and </w:t>
      </w:r>
      <w:r w:rsidRPr="00034F80">
        <w:rPr>
          <w:rStyle w:val="Strong"/>
          <w:rFonts w:ascii="Times New Roman" w:hAnsi="Times New Roman"/>
          <w:color w:val="000000"/>
          <w:sz w:val="24"/>
          <w:szCs w:val="24"/>
        </w:rPr>
        <w:t>rapid pay back</w:t>
      </w:r>
      <w:r w:rsidRPr="00034F80">
        <w:rPr>
          <w:rFonts w:ascii="Times New Roman" w:hAnsi="Times New Roman"/>
          <w:color w:val="000000"/>
          <w:sz w:val="24"/>
          <w:szCs w:val="24"/>
        </w:rPr>
        <w:t xml:space="preserve"> utilizing existing infrastructure in the district with a contract mining and toll milling scenario.  The study recommends </w:t>
      </w:r>
      <w:r>
        <w:rPr>
          <w:rFonts w:ascii="Times New Roman" w:hAnsi="Times New Roman"/>
          <w:color w:val="000000"/>
          <w:sz w:val="24"/>
          <w:szCs w:val="24"/>
        </w:rPr>
        <w:t>the Company</w:t>
      </w:r>
      <w:r w:rsidRPr="00034F80">
        <w:rPr>
          <w:rFonts w:ascii="Times New Roman" w:hAnsi="Times New Roman"/>
          <w:color w:val="000000"/>
          <w:sz w:val="24"/>
          <w:szCs w:val="24"/>
        </w:rPr>
        <w:t xml:space="preserve"> continue to advance the Ootsa Project with extended and advanced technical studies with the intention of moving the project toward a production decision.</w:t>
      </w:r>
    </w:p>
    <w:p w14:paraId="07F7A405" w14:textId="77777777" w:rsidR="00DE63FB" w:rsidRPr="009A3934" w:rsidRDefault="00DE63FB" w:rsidP="005C6D1E">
      <w:pPr>
        <w:spacing w:after="0" w:line="240" w:lineRule="auto"/>
        <w:rPr>
          <w:rFonts w:ascii="Times New Roman" w:hAnsi="Times New Roman"/>
          <w:color w:val="444444"/>
          <w:sz w:val="24"/>
          <w:szCs w:val="24"/>
          <w:shd w:val="clear" w:color="auto" w:fill="FFFFFF"/>
          <w:lang w:val="en-GB"/>
        </w:rPr>
      </w:pPr>
      <w:r>
        <w:rPr>
          <w:rFonts w:ascii="Times New Roman" w:hAnsi="Times New Roman"/>
          <w:color w:val="000000"/>
          <w:sz w:val="24"/>
          <w:szCs w:val="24"/>
        </w:rPr>
        <w:t xml:space="preserve"> </w:t>
      </w:r>
    </w:p>
    <w:p w14:paraId="425C1AEC" w14:textId="72465B32" w:rsidR="00DE63FB" w:rsidRPr="00FC0234" w:rsidRDefault="00DE63FB" w:rsidP="005C6D1E">
      <w:pPr>
        <w:spacing w:after="0" w:line="240" w:lineRule="auto"/>
        <w:jc w:val="both"/>
        <w:rPr>
          <w:rFonts w:ascii="Times New Roman" w:hAnsi="Times New Roman"/>
          <w:i/>
        </w:rPr>
      </w:pPr>
      <w:r w:rsidRPr="00FC0234">
        <w:rPr>
          <w:rFonts w:ascii="Times New Roman" w:hAnsi="Times New Roman"/>
          <w:bCs/>
          <w:i/>
          <w:color w:val="000000"/>
        </w:rPr>
        <w:t xml:space="preserve">The current technical report supporting the resource statement and PEA is available on SEDAR or the Company’s website at </w:t>
      </w:r>
      <w:hyperlink r:id="rId8" w:history="1">
        <w:r w:rsidRPr="00226C33">
          <w:rPr>
            <w:rStyle w:val="Hyperlink"/>
            <w:rFonts w:ascii="Times New Roman" w:hAnsi="Times New Roman"/>
            <w:bCs/>
            <w:i/>
          </w:rPr>
          <w:t>www.surgecopper.com</w:t>
        </w:r>
      </w:hyperlink>
      <w:r w:rsidRPr="00FC0234">
        <w:rPr>
          <w:rFonts w:ascii="Times New Roman" w:hAnsi="Times New Roman"/>
          <w:bCs/>
          <w:i/>
          <w:color w:val="000000"/>
        </w:rPr>
        <w:t xml:space="preserve"> and has an effective date of January 2016.</w:t>
      </w:r>
      <w:r w:rsidRPr="00FC0234">
        <w:rPr>
          <w:rFonts w:ascii="Times New Roman" w:hAnsi="Times New Roman"/>
          <w:bCs/>
          <w:color w:val="000000"/>
        </w:rPr>
        <w:t xml:space="preserve"> </w:t>
      </w:r>
      <w:r w:rsidRPr="00FC0234">
        <w:rPr>
          <w:rFonts w:ascii="Times New Roman" w:hAnsi="Times New Roman"/>
          <w:i/>
        </w:rPr>
        <w:t xml:space="preserve"> The resource estimate uses $8.50 per tonne NSR cut-off value.  Mineral resources are not mineral reserves and by definition do not demonstrate economic viability. There is no certainty that all or any part of the mineral resource will be converted into mineral reserves.  A ‘</w:t>
      </w:r>
      <w:r w:rsidRPr="00FC0234">
        <w:rPr>
          <w:rFonts w:ascii="Times New Roman" w:hAnsi="Times New Roman"/>
          <w:i/>
          <w:iCs/>
        </w:rPr>
        <w:t xml:space="preserve">Measured Mineral Resource’ </w:t>
      </w:r>
      <w:r w:rsidRPr="00FC0234">
        <w:rPr>
          <w:rFonts w:ascii="Times New Roman" w:hAnsi="Times New Roman"/>
          <w:i/>
        </w:rPr>
        <w:t xml:space="preserve">is that part of a mineral resource for which quantity, grade or quality, densities, shape and physical characteristics are so well established that they can be estimated with confidence sufficient to allow the appropriate application of technical and economic parameters, to support production planning and evaluation of the economic viability of the deposit.   </w:t>
      </w:r>
      <w:r w:rsidRPr="00FC0234">
        <w:rPr>
          <w:rFonts w:ascii="Times New Roman" w:hAnsi="Times New Roman"/>
          <w:bCs/>
          <w:i/>
        </w:rPr>
        <w:t xml:space="preserve">An ‘Indicated Mineral Resource’ is that part of a Mineral Resource for which quantity, grade or quality, densities, shape and physical characteristics can be estimated with a level of confidence sufficient to allow the appropriate application of technical and economic parameters, to support mine planning and evaluation of the economic viability of the deposit. </w:t>
      </w:r>
      <w:r w:rsidRPr="00FC0234">
        <w:rPr>
          <w:rFonts w:ascii="Times New Roman" w:hAnsi="Times New Roman"/>
          <w:i/>
        </w:rPr>
        <w:t xml:space="preserve"> Copper Equivalent (CuEq) calculations are based on base case metal price (US$3/lb Cu, US$1260/oz Au, US$10.30/lb Mo, and US$17/oz Ag) and process recovery </w:t>
      </w:r>
      <w:r w:rsidR="00540BD2" w:rsidRPr="00FC0234">
        <w:rPr>
          <w:rFonts w:ascii="Times New Roman" w:hAnsi="Times New Roman"/>
          <w:i/>
        </w:rPr>
        <w:t>assumptions and</w:t>
      </w:r>
      <w:r w:rsidRPr="00FC0234">
        <w:rPr>
          <w:rFonts w:ascii="Times New Roman" w:hAnsi="Times New Roman"/>
          <w:i/>
        </w:rPr>
        <w:t xml:space="preserve"> take into account smelter payable rates and refining costs.  </w:t>
      </w:r>
      <w:r w:rsidRPr="00FC0234">
        <w:rPr>
          <w:rFonts w:ascii="Times New Roman" w:hAnsi="Times New Roman"/>
          <w:bCs/>
          <w:i/>
        </w:rPr>
        <w:t xml:space="preserve">M&amp;I = measured and </w:t>
      </w:r>
      <w:r w:rsidRPr="00FC0234">
        <w:rPr>
          <w:rFonts w:ascii="Times New Roman" w:hAnsi="Times New Roman"/>
          <w:bCs/>
        </w:rPr>
        <w:t>indicated</w:t>
      </w:r>
      <w:r w:rsidRPr="00FC0234">
        <w:rPr>
          <w:rFonts w:ascii="Times New Roman" w:hAnsi="Times New Roman"/>
          <w:bCs/>
          <w:i/>
        </w:rPr>
        <w:t xml:space="preserve">. </w:t>
      </w:r>
      <w:r w:rsidRPr="00B7580A">
        <w:rPr>
          <w:rFonts w:ascii="Times New Roman" w:hAnsi="Times New Roman"/>
          <w:i/>
        </w:rPr>
        <w:t>The resource update and Preliminary Economic Assessment was completed by P&amp;E Mining Consultants Inc. in accordance with National Instrument 43-101 Standards of Disclosure for Mineral Projects.</w:t>
      </w:r>
    </w:p>
    <w:p w14:paraId="6281B808" w14:textId="77777777" w:rsidR="00DE63FB" w:rsidRDefault="00DE63FB" w:rsidP="005C6D1E">
      <w:pPr>
        <w:spacing w:after="0" w:line="240" w:lineRule="auto"/>
        <w:jc w:val="both"/>
        <w:rPr>
          <w:rFonts w:cs="Arial"/>
          <w:bCs/>
        </w:rPr>
      </w:pPr>
    </w:p>
    <w:p w14:paraId="257E051E" w14:textId="77777777" w:rsidR="00DE63FB" w:rsidRPr="00BC6D31" w:rsidRDefault="00DE63FB" w:rsidP="005C6D1E">
      <w:pPr>
        <w:autoSpaceDE w:val="0"/>
        <w:autoSpaceDN w:val="0"/>
        <w:adjustRightInd w:val="0"/>
        <w:spacing w:after="0" w:line="240" w:lineRule="auto"/>
        <w:jc w:val="both"/>
        <w:rPr>
          <w:rFonts w:ascii="Times New Roman" w:hAnsi="Times New Roman"/>
          <w:sz w:val="24"/>
          <w:szCs w:val="24"/>
        </w:rPr>
      </w:pPr>
      <w:r w:rsidRPr="00BC6D31">
        <w:rPr>
          <w:rFonts w:ascii="Times New Roman" w:hAnsi="Times New Roman"/>
          <w:noProof/>
          <w:sz w:val="24"/>
          <w:szCs w:val="24"/>
        </w:rPr>
        <w:t>Dr. Shane Ebert P.Geo.</w:t>
      </w:r>
      <w:r w:rsidRPr="00BC6D31">
        <w:rPr>
          <w:rFonts w:ascii="Times New Roman" w:hAnsi="Times New Roman"/>
          <w:sz w:val="24"/>
          <w:szCs w:val="24"/>
        </w:rPr>
        <w:t>,</w:t>
      </w:r>
      <w:r w:rsidRPr="00BC6D31">
        <w:rPr>
          <w:rFonts w:ascii="Times New Roman" w:hAnsi="Times New Roman"/>
          <w:noProof/>
          <w:sz w:val="24"/>
          <w:szCs w:val="24"/>
        </w:rPr>
        <w:t xml:space="preserve"> is the Qualified Person for the Ootsa project as defined by National Instrument 43-101 and has approved the </w:t>
      </w:r>
      <w:r w:rsidRPr="00AA759D">
        <w:rPr>
          <w:rFonts w:ascii="Times New Roman" w:hAnsi="Times New Roman"/>
          <w:noProof/>
          <w:sz w:val="24"/>
          <w:szCs w:val="24"/>
        </w:rPr>
        <w:t>technical disclosure</w:t>
      </w:r>
      <w:r w:rsidRPr="00BC6D31">
        <w:rPr>
          <w:rFonts w:ascii="Times New Roman" w:hAnsi="Times New Roman"/>
          <w:noProof/>
          <w:sz w:val="24"/>
          <w:szCs w:val="24"/>
        </w:rPr>
        <w:t xml:space="preserve"> contained in this news release.</w:t>
      </w:r>
    </w:p>
    <w:p w14:paraId="6E970D30" w14:textId="77777777" w:rsidR="00DE63FB" w:rsidRDefault="00DE63FB" w:rsidP="005C6D1E">
      <w:pPr>
        <w:spacing w:after="0" w:line="240" w:lineRule="auto"/>
        <w:jc w:val="both"/>
        <w:rPr>
          <w:rFonts w:cs="Arial"/>
          <w:bCs/>
        </w:rPr>
      </w:pPr>
    </w:p>
    <w:p w14:paraId="33E1DA9B" w14:textId="77777777" w:rsidR="00DE63FB" w:rsidRPr="00493EF9" w:rsidRDefault="00DE63FB" w:rsidP="005C6D1E">
      <w:pPr>
        <w:spacing w:after="0" w:line="240" w:lineRule="auto"/>
        <w:jc w:val="both"/>
        <w:rPr>
          <w:rFonts w:ascii="Times New Roman" w:hAnsi="Times New Roman"/>
          <w:b/>
          <w:sz w:val="24"/>
          <w:szCs w:val="24"/>
        </w:rPr>
      </w:pPr>
      <w:r w:rsidRPr="00493EF9">
        <w:rPr>
          <w:rFonts w:ascii="Times New Roman" w:hAnsi="Times New Roman"/>
          <w:b/>
          <w:sz w:val="24"/>
          <w:szCs w:val="24"/>
        </w:rPr>
        <w:t>ON BEHALF OF THE BOARD OF DIRECTORS</w:t>
      </w:r>
    </w:p>
    <w:p w14:paraId="7A8C42FF" w14:textId="77777777" w:rsidR="00DE63FB" w:rsidRDefault="00DE63FB" w:rsidP="005C6D1E">
      <w:pPr>
        <w:spacing w:after="0" w:line="240" w:lineRule="auto"/>
        <w:rPr>
          <w:rFonts w:ascii="Times New Roman" w:hAnsi="Times New Roman"/>
          <w:sz w:val="24"/>
          <w:szCs w:val="24"/>
        </w:rPr>
      </w:pPr>
    </w:p>
    <w:p w14:paraId="71F336E8" w14:textId="77777777" w:rsidR="00DE63FB" w:rsidRPr="00493EF9" w:rsidRDefault="00DE63FB" w:rsidP="005C6D1E">
      <w:pPr>
        <w:spacing w:after="0" w:line="240" w:lineRule="auto"/>
        <w:rPr>
          <w:rFonts w:ascii="Times New Roman" w:hAnsi="Times New Roman"/>
          <w:sz w:val="24"/>
          <w:szCs w:val="24"/>
        </w:rPr>
      </w:pPr>
    </w:p>
    <w:p w14:paraId="1A8E4F4E" w14:textId="77777777" w:rsidR="00DE63FB" w:rsidRPr="00493EF9" w:rsidRDefault="00DE63FB" w:rsidP="005C6D1E">
      <w:pPr>
        <w:pStyle w:val="Header"/>
        <w:rPr>
          <w:rFonts w:ascii="Times New Roman" w:hAnsi="Times New Roman"/>
          <w:sz w:val="24"/>
          <w:szCs w:val="24"/>
        </w:rPr>
      </w:pPr>
      <w:r w:rsidRPr="00493EF9">
        <w:rPr>
          <w:rFonts w:ascii="Times New Roman" w:hAnsi="Times New Roman"/>
          <w:sz w:val="24"/>
          <w:szCs w:val="24"/>
        </w:rPr>
        <w:t>“Shane Ebert”</w:t>
      </w:r>
    </w:p>
    <w:p w14:paraId="608521E6" w14:textId="77777777" w:rsidR="00DE63FB" w:rsidRPr="00493EF9" w:rsidRDefault="00DE63FB" w:rsidP="005C6D1E">
      <w:pPr>
        <w:pStyle w:val="Header"/>
        <w:rPr>
          <w:rFonts w:ascii="Times New Roman" w:hAnsi="Times New Roman"/>
          <w:sz w:val="24"/>
          <w:szCs w:val="24"/>
        </w:rPr>
      </w:pPr>
      <w:r>
        <w:rPr>
          <w:rFonts w:ascii="Times New Roman" w:hAnsi="Times New Roman"/>
          <w:sz w:val="24"/>
          <w:szCs w:val="24"/>
        </w:rPr>
        <w:t>President and Chief Executive Officer</w:t>
      </w:r>
    </w:p>
    <w:p w14:paraId="6E726817" w14:textId="77777777" w:rsidR="00DE63FB" w:rsidRPr="00493EF9" w:rsidRDefault="00DE63FB" w:rsidP="005C6D1E">
      <w:pPr>
        <w:spacing w:after="0" w:line="240" w:lineRule="auto"/>
        <w:jc w:val="both"/>
        <w:rPr>
          <w:rFonts w:ascii="Times New Roman" w:hAnsi="Times New Roman"/>
          <w:sz w:val="24"/>
          <w:szCs w:val="24"/>
        </w:rPr>
      </w:pPr>
      <w:r w:rsidRPr="00493EF9">
        <w:rPr>
          <w:rFonts w:ascii="Times New Roman" w:hAnsi="Times New Roman"/>
          <w:sz w:val="24"/>
          <w:szCs w:val="24"/>
        </w:rPr>
        <w:lastRenderedPageBreak/>
        <w:t xml:space="preserve"> </w:t>
      </w:r>
    </w:p>
    <w:p w14:paraId="36103E01" w14:textId="77777777" w:rsidR="00DE63FB" w:rsidRPr="00493EF9" w:rsidRDefault="00DE63FB" w:rsidP="005C6D1E">
      <w:pPr>
        <w:spacing w:after="0" w:line="240" w:lineRule="auto"/>
        <w:jc w:val="both"/>
        <w:rPr>
          <w:rFonts w:ascii="Times New Roman" w:hAnsi="Times New Roman"/>
          <w:sz w:val="24"/>
          <w:szCs w:val="24"/>
        </w:rPr>
      </w:pPr>
      <w:r w:rsidRPr="00493EF9">
        <w:rPr>
          <w:rFonts w:ascii="Times New Roman" w:hAnsi="Times New Roman"/>
          <w:sz w:val="24"/>
          <w:szCs w:val="24"/>
        </w:rPr>
        <w:t>For Further information, please contact:</w:t>
      </w:r>
    </w:p>
    <w:p w14:paraId="28278BC0" w14:textId="77777777" w:rsidR="00DE63FB" w:rsidRPr="00493EF9" w:rsidRDefault="00DE63FB" w:rsidP="005C6D1E">
      <w:pPr>
        <w:spacing w:after="0" w:line="240" w:lineRule="auto"/>
        <w:jc w:val="both"/>
        <w:rPr>
          <w:rFonts w:ascii="Times New Roman" w:hAnsi="Times New Roman"/>
          <w:sz w:val="24"/>
          <w:szCs w:val="24"/>
        </w:rPr>
      </w:pPr>
      <w:r w:rsidRPr="00493EF9">
        <w:rPr>
          <w:rFonts w:ascii="Times New Roman" w:hAnsi="Times New Roman"/>
          <w:sz w:val="24"/>
          <w:szCs w:val="24"/>
        </w:rPr>
        <w:t>Telephone: 604-718-5454</w:t>
      </w:r>
    </w:p>
    <w:p w14:paraId="102900FF" w14:textId="77777777" w:rsidR="00DE63FB" w:rsidRDefault="00DE63FB" w:rsidP="005C6D1E">
      <w:pPr>
        <w:spacing w:after="0" w:line="240" w:lineRule="auto"/>
        <w:jc w:val="both"/>
        <w:rPr>
          <w:rFonts w:ascii="Times New Roman" w:hAnsi="Times New Roman"/>
          <w:sz w:val="24"/>
          <w:szCs w:val="24"/>
        </w:rPr>
      </w:pPr>
      <w:r w:rsidRPr="00493EF9">
        <w:rPr>
          <w:rFonts w:ascii="Times New Roman" w:hAnsi="Times New Roman"/>
          <w:sz w:val="24"/>
          <w:szCs w:val="24"/>
        </w:rPr>
        <w:t>Toll Free: 888-500-4587</w:t>
      </w:r>
    </w:p>
    <w:p w14:paraId="1017EB9D" w14:textId="6207856B" w:rsidR="00DE63FB" w:rsidRPr="00493EF9" w:rsidRDefault="00DE63FB" w:rsidP="005C6D1E">
      <w:pPr>
        <w:spacing w:after="0" w:line="240" w:lineRule="auto"/>
        <w:jc w:val="both"/>
        <w:rPr>
          <w:rFonts w:ascii="Times New Roman" w:hAnsi="Times New Roman"/>
          <w:sz w:val="24"/>
          <w:szCs w:val="24"/>
        </w:rPr>
      </w:pPr>
      <w:r w:rsidRPr="00242D82">
        <w:rPr>
          <w:rFonts w:ascii="Times New Roman" w:hAnsi="Times New Roman"/>
          <w:sz w:val="24"/>
          <w:szCs w:val="24"/>
        </w:rPr>
        <w:t>info@</w:t>
      </w:r>
      <w:r>
        <w:rPr>
          <w:rFonts w:ascii="Times New Roman" w:hAnsi="Times New Roman"/>
          <w:sz w:val="24"/>
          <w:szCs w:val="24"/>
        </w:rPr>
        <w:t>surgecopper</w:t>
      </w:r>
      <w:r w:rsidRPr="00242D82">
        <w:rPr>
          <w:rFonts w:ascii="Times New Roman" w:hAnsi="Times New Roman"/>
          <w:sz w:val="24"/>
          <w:szCs w:val="24"/>
        </w:rPr>
        <w:t>.com</w:t>
      </w:r>
    </w:p>
    <w:p w14:paraId="00B6A9A0" w14:textId="7539C51E" w:rsidR="00DE63FB" w:rsidRPr="00493EF9" w:rsidRDefault="00540BD2" w:rsidP="005C6D1E">
      <w:pPr>
        <w:spacing w:after="0" w:line="240" w:lineRule="auto"/>
        <w:jc w:val="both"/>
        <w:rPr>
          <w:rFonts w:ascii="Times New Roman" w:hAnsi="Times New Roman"/>
          <w:sz w:val="24"/>
          <w:szCs w:val="24"/>
        </w:rPr>
      </w:pPr>
      <w:hyperlink r:id="rId9" w:history="1">
        <w:r w:rsidR="00DE7B1D" w:rsidRPr="00226C33">
          <w:rPr>
            <w:rStyle w:val="Hyperlink"/>
            <w:rFonts w:ascii="Times New Roman" w:hAnsi="Times New Roman"/>
            <w:sz w:val="24"/>
            <w:szCs w:val="24"/>
          </w:rPr>
          <w:t>http://www.surgecopper.com</w:t>
        </w:r>
      </w:hyperlink>
    </w:p>
    <w:p w14:paraId="7A960C74" w14:textId="77777777" w:rsidR="00DE63FB" w:rsidRPr="00493EF9" w:rsidRDefault="00DE63FB" w:rsidP="005C6D1E">
      <w:pPr>
        <w:spacing w:after="0" w:line="240" w:lineRule="auto"/>
        <w:jc w:val="both"/>
        <w:rPr>
          <w:rFonts w:ascii="Times New Roman" w:hAnsi="Times New Roman"/>
          <w:sz w:val="24"/>
          <w:szCs w:val="24"/>
        </w:rPr>
      </w:pPr>
    </w:p>
    <w:p w14:paraId="6968BA39" w14:textId="77777777" w:rsidR="00DE63FB" w:rsidRPr="00493EF9" w:rsidRDefault="00DE63FB" w:rsidP="005C6D1E">
      <w:pPr>
        <w:spacing w:after="0" w:line="240" w:lineRule="auto"/>
        <w:jc w:val="both"/>
        <w:rPr>
          <w:rFonts w:ascii="Times New Roman" w:hAnsi="Times New Roman"/>
          <w:sz w:val="24"/>
          <w:szCs w:val="24"/>
        </w:rPr>
      </w:pPr>
      <w:r w:rsidRPr="00493EF9">
        <w:rPr>
          <w:rFonts w:ascii="Times New Roman" w:hAnsi="Times New Roman"/>
          <w:sz w:val="24"/>
          <w:szCs w:val="24"/>
        </w:rPr>
        <w:t xml:space="preserve">Or </w:t>
      </w:r>
    </w:p>
    <w:p w14:paraId="71BCFA4A" w14:textId="77777777" w:rsidR="00DE63FB" w:rsidRDefault="00DE63FB" w:rsidP="005C6D1E">
      <w:pPr>
        <w:spacing w:after="0" w:line="240" w:lineRule="auto"/>
        <w:jc w:val="both"/>
        <w:rPr>
          <w:rFonts w:ascii="Times New Roman" w:hAnsi="Times New Roman"/>
          <w:sz w:val="24"/>
          <w:szCs w:val="24"/>
        </w:rPr>
      </w:pPr>
      <w:r w:rsidRPr="00493EF9">
        <w:rPr>
          <w:rFonts w:ascii="Times New Roman" w:hAnsi="Times New Roman"/>
          <w:sz w:val="24"/>
          <w:szCs w:val="24"/>
        </w:rPr>
        <w:t>Don Mosher</w:t>
      </w:r>
    </w:p>
    <w:p w14:paraId="79DAE410" w14:textId="77777777" w:rsidR="00DE63FB" w:rsidRPr="00493EF9" w:rsidRDefault="00DE63FB" w:rsidP="005C6D1E">
      <w:pPr>
        <w:spacing w:after="0" w:line="240" w:lineRule="auto"/>
        <w:jc w:val="both"/>
        <w:rPr>
          <w:rFonts w:ascii="Times New Roman" w:hAnsi="Times New Roman"/>
          <w:sz w:val="24"/>
          <w:szCs w:val="24"/>
        </w:rPr>
      </w:pPr>
      <w:r>
        <w:rPr>
          <w:rFonts w:ascii="Times New Roman" w:hAnsi="Times New Roman"/>
          <w:sz w:val="24"/>
          <w:szCs w:val="24"/>
        </w:rPr>
        <w:t>Corporate Development</w:t>
      </w:r>
    </w:p>
    <w:p w14:paraId="5D6C2B54" w14:textId="77777777" w:rsidR="00DE63FB" w:rsidRPr="00493EF9" w:rsidRDefault="00DE63FB" w:rsidP="005C6D1E">
      <w:pPr>
        <w:spacing w:after="0" w:line="240" w:lineRule="auto"/>
        <w:jc w:val="both"/>
        <w:rPr>
          <w:rFonts w:ascii="Times New Roman" w:hAnsi="Times New Roman"/>
          <w:sz w:val="24"/>
          <w:szCs w:val="24"/>
        </w:rPr>
      </w:pPr>
      <w:r w:rsidRPr="00493EF9">
        <w:rPr>
          <w:rFonts w:ascii="Times New Roman" w:hAnsi="Times New Roman"/>
          <w:sz w:val="24"/>
          <w:szCs w:val="24"/>
        </w:rPr>
        <w:t>Telephone: 604-685-6465</w:t>
      </w:r>
    </w:p>
    <w:p w14:paraId="19C7168D" w14:textId="43E8FDE8" w:rsidR="00DE63FB" w:rsidRPr="00493EF9" w:rsidRDefault="00540BD2" w:rsidP="005C6D1E">
      <w:pPr>
        <w:spacing w:after="0" w:line="240" w:lineRule="auto"/>
        <w:jc w:val="both"/>
        <w:rPr>
          <w:rFonts w:ascii="Times New Roman" w:hAnsi="Times New Roman"/>
          <w:color w:val="0B1E59"/>
          <w:sz w:val="24"/>
          <w:szCs w:val="24"/>
        </w:rPr>
      </w:pPr>
      <w:hyperlink r:id="rId10" w:history="1">
        <w:r w:rsidR="00DE63FB" w:rsidRPr="00226C33">
          <w:rPr>
            <w:rStyle w:val="Hyperlink"/>
            <w:rFonts w:ascii="Times New Roman" w:hAnsi="Times New Roman"/>
            <w:sz w:val="24"/>
            <w:szCs w:val="24"/>
          </w:rPr>
          <w:t>don@surgecopper.com</w:t>
        </w:r>
      </w:hyperlink>
    </w:p>
    <w:p w14:paraId="05B8DB52" w14:textId="77777777" w:rsidR="00DE63FB" w:rsidRPr="009A5988" w:rsidRDefault="00DE63FB" w:rsidP="005C6D1E">
      <w:pPr>
        <w:spacing w:after="0" w:line="240" w:lineRule="auto"/>
        <w:contextualSpacing/>
        <w:rPr>
          <w:rFonts w:ascii="Times New Roman" w:hAnsi="Times New Roman"/>
          <w:color w:val="0B1E59"/>
          <w:sz w:val="24"/>
          <w:szCs w:val="24"/>
        </w:rPr>
      </w:pPr>
    </w:p>
    <w:p w14:paraId="1FC27FD4" w14:textId="77777777" w:rsidR="00DE63FB" w:rsidRDefault="00DE63FB" w:rsidP="005C6D1E">
      <w:pPr>
        <w:spacing w:after="0" w:line="240" w:lineRule="auto"/>
        <w:jc w:val="both"/>
        <w:rPr>
          <w:rStyle w:val="Emphasis"/>
          <w:rFonts w:ascii="Times New Roman" w:hAnsi="Times New Roman"/>
        </w:rPr>
      </w:pPr>
      <w:r w:rsidRPr="005A36A1">
        <w:rPr>
          <w:rFonts w:ascii="Times New Roman" w:hAnsi="Times New Roman"/>
          <w:i/>
          <w:iCs/>
        </w:rPr>
        <w:t>Neither the TSX Venture Exchange nor its Regulation Services Provider (as that term is defined in the policies of the TSX Venture Exchange) accepts responsibility for the adequacy or accuracy of this release</w:t>
      </w:r>
      <w:r>
        <w:rPr>
          <w:rStyle w:val="Emphasis"/>
          <w:rFonts w:ascii="Times New Roman" w:hAnsi="Times New Roman"/>
        </w:rPr>
        <w:t>.</w:t>
      </w:r>
    </w:p>
    <w:p w14:paraId="03AEB3D9" w14:textId="77777777" w:rsidR="00DE63FB" w:rsidRDefault="00DE63FB" w:rsidP="005C6D1E">
      <w:pPr>
        <w:spacing w:after="0" w:line="240" w:lineRule="auto"/>
        <w:jc w:val="both"/>
        <w:rPr>
          <w:rStyle w:val="Emphasis"/>
          <w:rFonts w:ascii="Times New Roman" w:hAnsi="Times New Roman"/>
        </w:rPr>
      </w:pPr>
    </w:p>
    <w:p w14:paraId="59628BF2" w14:textId="50CA9AF6" w:rsidR="0055776F" w:rsidRPr="00DE63FB" w:rsidRDefault="00DE63FB" w:rsidP="005C6D1E">
      <w:pPr>
        <w:spacing w:after="0" w:line="240" w:lineRule="auto"/>
        <w:jc w:val="both"/>
        <w:rPr>
          <w:rFonts w:ascii="Times New Roman" w:hAnsi="Times New Roman"/>
          <w:i/>
          <w:iCs/>
        </w:rPr>
      </w:pPr>
      <w:r w:rsidRPr="005A36A1">
        <w:rPr>
          <w:rStyle w:val="Emphasis"/>
          <w:rFonts w:ascii="Times New Roman" w:hAnsi="Times New Roman"/>
        </w:rPr>
        <w:t>This News Release contains forward-looking statements, which relate to future events. In some cases, you can identify forward-looking statements by terminology such as "will", "may", "should", "expects", "plans", or "anticipates" or the negative of these terms or other comparable terminology. These statements are only predictions and involve known and unknown risks, uncertainties and other factors that may cause the Company’s actual results, level of activity, performance or achievements to be materially different from any future results, levels of activity, performance, or achievements expressed or implied by these forward-looking-statements. Such uncertainties and risks may include, among others, actual results of the Company's exploration activities being different than those expected by management, delays in obtaining or failure to obtain required government or other regulatory approvals or financing, inability to procure equipment and supplies in sufficient quantities and on a timely basis, equipment breakdown and bad weather.</w:t>
      </w:r>
      <w:r w:rsidRPr="005A36A1">
        <w:rPr>
          <w:rFonts w:ascii="Times New Roman" w:hAnsi="Times New Roman"/>
          <w:i/>
          <w:iCs/>
        </w:rPr>
        <w:t xml:space="preserve"> </w:t>
      </w:r>
      <w:r w:rsidRPr="005A36A1">
        <w:rPr>
          <w:rStyle w:val="Emphasis"/>
          <w:rFonts w:ascii="Times New Roman" w:hAnsi="Times New Roman"/>
        </w:rPr>
        <w:t>While these forward-looking statements, and any assumptions upon which they are based, are made in good faith and reflect the Company's current judgment regarding the direction of its business, actual results will almost always vary, sometimes materially, from any estimates, predictions, projections, assumptions or other future performance suggests herein. Except as required by applicable law, the Company does not intend to update any forward-looking statements to conform these statements to actual results.</w:t>
      </w:r>
    </w:p>
    <w:p w14:paraId="6D30288C" w14:textId="77777777" w:rsidR="0055776F" w:rsidRPr="00F056CA" w:rsidRDefault="0055776F" w:rsidP="005C6D1E">
      <w:pPr>
        <w:spacing w:after="0" w:line="240" w:lineRule="auto"/>
        <w:rPr>
          <w:sz w:val="24"/>
          <w:szCs w:val="24"/>
        </w:rPr>
      </w:pPr>
    </w:p>
    <w:sectPr w:rsidR="0055776F" w:rsidRPr="00F056CA" w:rsidSect="008310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2A"/>
    <w:rsid w:val="000E0C4C"/>
    <w:rsid w:val="00195F1C"/>
    <w:rsid w:val="001A43DD"/>
    <w:rsid w:val="0021041C"/>
    <w:rsid w:val="002C6289"/>
    <w:rsid w:val="003A3DD9"/>
    <w:rsid w:val="003B61DE"/>
    <w:rsid w:val="00462A26"/>
    <w:rsid w:val="004E0827"/>
    <w:rsid w:val="00513A70"/>
    <w:rsid w:val="00540BD2"/>
    <w:rsid w:val="0055776F"/>
    <w:rsid w:val="005C6D1E"/>
    <w:rsid w:val="00735F6E"/>
    <w:rsid w:val="007C39B8"/>
    <w:rsid w:val="00831076"/>
    <w:rsid w:val="00847C78"/>
    <w:rsid w:val="008A36DA"/>
    <w:rsid w:val="008C5A85"/>
    <w:rsid w:val="008F24CC"/>
    <w:rsid w:val="00915B44"/>
    <w:rsid w:val="00923C55"/>
    <w:rsid w:val="0093551C"/>
    <w:rsid w:val="009A3BA6"/>
    <w:rsid w:val="009A6CF6"/>
    <w:rsid w:val="009D375F"/>
    <w:rsid w:val="009F4647"/>
    <w:rsid w:val="00A63448"/>
    <w:rsid w:val="00B04C93"/>
    <w:rsid w:val="00B4782A"/>
    <w:rsid w:val="00BA62BF"/>
    <w:rsid w:val="00C14F2A"/>
    <w:rsid w:val="00D76F5A"/>
    <w:rsid w:val="00DD30CE"/>
    <w:rsid w:val="00DE63FB"/>
    <w:rsid w:val="00DE7B1D"/>
    <w:rsid w:val="00E22A4D"/>
    <w:rsid w:val="00E37A16"/>
    <w:rsid w:val="00E71C5A"/>
    <w:rsid w:val="00F056CA"/>
    <w:rsid w:val="00FA5266"/>
    <w:rsid w:val="00FC2C5F"/>
    <w:rsid w:val="00FF6C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3E70"/>
  <w15:docId w15:val="{0EC95166-265F-4524-B1AF-BDF49C6F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4F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4F2A"/>
    <w:rPr>
      <w:b/>
      <w:bCs/>
    </w:rPr>
  </w:style>
  <w:style w:type="paragraph" w:styleId="BalloonText">
    <w:name w:val="Balloon Text"/>
    <w:basedOn w:val="Normal"/>
    <w:link w:val="BalloonTextChar"/>
    <w:uiPriority w:val="99"/>
    <w:semiHidden/>
    <w:unhideWhenUsed/>
    <w:rsid w:val="00C14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F2A"/>
    <w:rPr>
      <w:rFonts w:ascii="Tahoma" w:hAnsi="Tahoma" w:cs="Tahoma"/>
      <w:sz w:val="16"/>
      <w:szCs w:val="16"/>
    </w:rPr>
  </w:style>
  <w:style w:type="character" w:styleId="Hyperlink">
    <w:name w:val="Hyperlink"/>
    <w:uiPriority w:val="99"/>
    <w:unhideWhenUsed/>
    <w:rsid w:val="00DE63FB"/>
    <w:rPr>
      <w:color w:val="0B1E59"/>
      <w:u w:val="single"/>
    </w:rPr>
  </w:style>
  <w:style w:type="paragraph" w:styleId="Header">
    <w:name w:val="header"/>
    <w:basedOn w:val="Normal"/>
    <w:link w:val="HeaderChar"/>
    <w:uiPriority w:val="99"/>
    <w:rsid w:val="00DE63FB"/>
    <w:pPr>
      <w:tabs>
        <w:tab w:val="center" w:pos="4680"/>
        <w:tab w:val="right" w:pos="9360"/>
      </w:tabs>
      <w:spacing w:after="0" w:line="240" w:lineRule="auto"/>
    </w:pPr>
    <w:rPr>
      <w:rFonts w:ascii="Arial" w:eastAsia="Times New Roman" w:hAnsi="Arial" w:cs="Times New Roman"/>
      <w:sz w:val="20"/>
      <w:szCs w:val="20"/>
      <w:lang w:val="x-none" w:eastAsia="x-none"/>
    </w:rPr>
  </w:style>
  <w:style w:type="character" w:customStyle="1" w:styleId="HeaderChar">
    <w:name w:val="Header Char"/>
    <w:basedOn w:val="DefaultParagraphFont"/>
    <w:link w:val="Header"/>
    <w:uiPriority w:val="99"/>
    <w:rsid w:val="00DE63FB"/>
    <w:rPr>
      <w:rFonts w:ascii="Arial" w:eastAsia="Times New Roman" w:hAnsi="Arial" w:cs="Times New Roman"/>
      <w:sz w:val="20"/>
      <w:szCs w:val="20"/>
      <w:lang w:val="x-none" w:eastAsia="x-none"/>
    </w:rPr>
  </w:style>
  <w:style w:type="character" w:styleId="Emphasis">
    <w:name w:val="Emphasis"/>
    <w:uiPriority w:val="20"/>
    <w:qFormat/>
    <w:rsid w:val="00DE63FB"/>
    <w:rPr>
      <w:rFonts w:cs="Times New Roman"/>
      <w:i/>
      <w:iCs/>
    </w:rPr>
  </w:style>
  <w:style w:type="character" w:styleId="UnresolvedMention">
    <w:name w:val="Unresolved Mention"/>
    <w:basedOn w:val="DefaultParagraphFont"/>
    <w:uiPriority w:val="99"/>
    <w:semiHidden/>
    <w:unhideWhenUsed/>
    <w:rsid w:val="00DE63FB"/>
    <w:rPr>
      <w:color w:val="808080"/>
      <w:shd w:val="clear" w:color="auto" w:fill="E6E6E6"/>
    </w:rPr>
  </w:style>
  <w:style w:type="character" w:styleId="FollowedHyperlink">
    <w:name w:val="FollowedHyperlink"/>
    <w:basedOn w:val="DefaultParagraphFont"/>
    <w:uiPriority w:val="99"/>
    <w:semiHidden/>
    <w:unhideWhenUsed/>
    <w:rsid w:val="00923C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ecopper.com" TargetMode="External"/><Relationship Id="rId3" Type="http://schemas.openxmlformats.org/officeDocument/2006/relationships/webSettings" Target="webSettings.xml"/><Relationship Id="rId7" Type="http://schemas.openxmlformats.org/officeDocument/2006/relationships/hyperlink" Target="http://www.surgecoppe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rgecopper.com/site/assets/files/5130/ootsa_2018_proposed_exploration_targets.pdf" TargetMode="External"/><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hyperlink" Target="mailto:don@surgecopper.com" TargetMode="External"/><Relationship Id="rId4" Type="http://schemas.openxmlformats.org/officeDocument/2006/relationships/image" Target="media/image1.emf"/><Relationship Id="rId9" Type="http://schemas.openxmlformats.org/officeDocument/2006/relationships/hyperlink" Target="http://www.surgecopp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Ebert</dc:creator>
  <cp:lastModifiedBy>Chantelle Collins</cp:lastModifiedBy>
  <cp:revision>11</cp:revision>
  <cp:lastPrinted>2015-12-21T23:19:00Z</cp:lastPrinted>
  <dcterms:created xsi:type="dcterms:W3CDTF">2018-03-29T18:27:00Z</dcterms:created>
  <dcterms:modified xsi:type="dcterms:W3CDTF">2018-04-03T00:10:00Z</dcterms:modified>
</cp:coreProperties>
</file>